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4E7EBC43" w14:textId="394F85D9" w:rsidR="00AC0567" w:rsidRPr="00C841BE" w:rsidRDefault="006F6F5B" w:rsidP="009E5C0F">
      <w:pPr>
        <w:spacing w:after="0" w:line="240" w:lineRule="auto"/>
        <w:jc w:val="both"/>
        <w:rPr>
          <w:rFonts w:ascii="Times New Roman" w:hAnsi="Times New Roman" w:cs="Times New Roman"/>
          <w:b/>
          <w:bCs/>
          <w:color w:val="4472C4" w:themeColor="accent5"/>
          <w:sz w:val="24"/>
          <w:szCs w:val="24"/>
          <w:lang w:val="fr-FR"/>
        </w:rPr>
      </w:pPr>
      <w:proofErr w:type="spellStart"/>
      <w:r w:rsidRPr="00C841BE">
        <w:rPr>
          <w:rFonts w:ascii="Times New Roman" w:hAnsi="Times New Roman" w:cs="Times New Roman"/>
          <w:b/>
          <w:bCs/>
          <w:color w:val="4472C4" w:themeColor="accent5"/>
          <w:sz w:val="24"/>
          <w:szCs w:val="24"/>
          <w:lang w:val="fr-FR"/>
        </w:rPr>
        <w:t>Anexa</w:t>
      </w:r>
      <w:proofErr w:type="spellEnd"/>
      <w:r w:rsidRPr="00C841BE">
        <w:rPr>
          <w:rFonts w:ascii="Times New Roman" w:hAnsi="Times New Roman" w:cs="Times New Roman"/>
          <w:b/>
          <w:bCs/>
          <w:color w:val="4472C4" w:themeColor="accent5"/>
          <w:sz w:val="24"/>
          <w:szCs w:val="24"/>
          <w:lang w:val="fr-FR"/>
        </w:rPr>
        <w:t xml:space="preserve"> nr. 1</w:t>
      </w:r>
      <w:r w:rsidR="00BF42B5" w:rsidRPr="00C841BE">
        <w:rPr>
          <w:rFonts w:ascii="Times New Roman" w:hAnsi="Times New Roman" w:cs="Times New Roman"/>
          <w:b/>
          <w:bCs/>
          <w:color w:val="4472C4" w:themeColor="accent5"/>
          <w:sz w:val="24"/>
          <w:szCs w:val="24"/>
          <w:lang w:val="fr-FR"/>
        </w:rPr>
        <w:t>1</w:t>
      </w:r>
      <w:r w:rsidRPr="00C841BE">
        <w:rPr>
          <w:rFonts w:ascii="Times New Roman" w:hAnsi="Times New Roman" w:cs="Times New Roman"/>
          <w:b/>
          <w:bCs/>
          <w:color w:val="4472C4" w:themeColor="accent5"/>
          <w:sz w:val="24"/>
          <w:szCs w:val="24"/>
          <w:lang w:val="fr-FR"/>
        </w:rPr>
        <w:t xml:space="preserve"> la </w:t>
      </w:r>
      <w:proofErr w:type="spellStart"/>
      <w:r w:rsidRPr="00C841BE">
        <w:rPr>
          <w:rFonts w:ascii="Times New Roman" w:hAnsi="Times New Roman" w:cs="Times New Roman"/>
          <w:b/>
          <w:bCs/>
          <w:color w:val="4472C4" w:themeColor="accent5"/>
          <w:sz w:val="24"/>
          <w:szCs w:val="24"/>
          <w:lang w:val="fr-FR"/>
        </w:rPr>
        <w:t>Ghidul</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Solicitantului</w:t>
      </w:r>
      <w:proofErr w:type="spellEnd"/>
      <w:r w:rsidRPr="00C841BE">
        <w:rPr>
          <w:rFonts w:ascii="Times New Roman" w:hAnsi="Times New Roman" w:cs="Times New Roman"/>
          <w:b/>
          <w:bCs/>
          <w:color w:val="4472C4" w:themeColor="accent5"/>
          <w:sz w:val="24"/>
          <w:szCs w:val="24"/>
          <w:lang w:val="fr-FR"/>
        </w:rPr>
        <w:t xml:space="preserve"> - </w:t>
      </w:r>
      <w:proofErr w:type="spellStart"/>
      <w:r w:rsidRPr="00C841BE">
        <w:rPr>
          <w:rFonts w:ascii="Times New Roman" w:hAnsi="Times New Roman" w:cs="Times New Roman"/>
          <w:b/>
          <w:bCs/>
          <w:color w:val="4472C4" w:themeColor="accent5"/>
          <w:sz w:val="24"/>
          <w:szCs w:val="24"/>
          <w:lang w:val="fr-FR"/>
        </w:rPr>
        <w:t>pentru</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acțiunea</w:t>
      </w:r>
      <w:proofErr w:type="spellEnd"/>
      <w:r w:rsidRPr="00C841BE">
        <w:rPr>
          <w:rFonts w:ascii="Times New Roman" w:hAnsi="Times New Roman" w:cs="Times New Roman"/>
          <w:b/>
          <w:bCs/>
          <w:color w:val="4472C4" w:themeColor="accent5"/>
          <w:sz w:val="24"/>
          <w:szCs w:val="24"/>
          <w:lang w:val="fr-FR"/>
        </w:rPr>
        <w:t xml:space="preserve"> „</w:t>
      </w:r>
      <w:r w:rsidR="008850A4" w:rsidRPr="00C841BE">
        <w:rPr>
          <w:rFonts w:ascii="Times New Roman" w:hAnsi="Times New Roman" w:cs="Times New Roman"/>
          <w:b/>
          <w:bCs/>
          <w:color w:val="4472C4" w:themeColor="accent5"/>
          <w:sz w:val="24"/>
          <w:szCs w:val="24"/>
          <w:lang w:val="fr-FR"/>
        </w:rPr>
        <w:t>“SPRIJINIREA TRANZIȚIEI FORȚEI DE MUNCĂ</w:t>
      </w:r>
      <w:proofErr w:type="gramStart"/>
      <w:r w:rsidR="008850A4" w:rsidRPr="00C841BE">
        <w:rPr>
          <w:rFonts w:ascii="Times New Roman" w:hAnsi="Times New Roman" w:cs="Times New Roman"/>
          <w:b/>
          <w:bCs/>
          <w:color w:val="4472C4" w:themeColor="accent5"/>
          <w:sz w:val="24"/>
          <w:szCs w:val="24"/>
          <w:lang w:val="fr-FR"/>
        </w:rPr>
        <w:t>”  –</w:t>
      </w:r>
      <w:proofErr w:type="gram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componenta</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Sprijin</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pentru</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modernizarea</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și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consolidarea</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instituțiilor</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și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serviciilor</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pieței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forței</w:t>
      </w:r>
      <w:proofErr w:type="spellEnd"/>
      <w:r w:rsidR="008850A4" w:rsidRPr="00C841BE">
        <w:rPr>
          <w:rFonts w:ascii="Times New Roman" w:hAnsi="Times New Roman" w:cs="Times New Roman"/>
          <w:b/>
          <w:bCs/>
          <w:color w:val="4472C4" w:themeColor="accent5"/>
          <w:sz w:val="24"/>
          <w:szCs w:val="24"/>
          <w:lang w:val="fr-FR"/>
        </w:rPr>
        <w:t xml:space="preserve"> de </w:t>
      </w:r>
      <w:proofErr w:type="spellStart"/>
      <w:r w:rsidR="008850A4" w:rsidRPr="00C841BE">
        <w:rPr>
          <w:rFonts w:ascii="Times New Roman" w:hAnsi="Times New Roman" w:cs="Times New Roman"/>
          <w:b/>
          <w:bCs/>
          <w:color w:val="4472C4" w:themeColor="accent5"/>
          <w:sz w:val="24"/>
          <w:szCs w:val="24"/>
          <w:lang w:val="fr-FR"/>
        </w:rPr>
        <w:t>muncă</w:t>
      </w:r>
      <w:proofErr w:type="spellEnd"/>
      <w:r w:rsidR="008850A4" w:rsidRPr="00C841BE">
        <w:rPr>
          <w:rFonts w:ascii="Times New Roman" w:hAnsi="Times New Roman" w:cs="Times New Roman"/>
          <w:b/>
          <w:bCs/>
          <w:color w:val="4472C4" w:themeColor="accent5"/>
          <w:sz w:val="24"/>
          <w:szCs w:val="24"/>
          <w:lang w:val="fr-FR"/>
        </w:rPr>
        <w:t xml:space="preserve"> – </w:t>
      </w:r>
      <w:proofErr w:type="spellStart"/>
      <w:r w:rsidR="008850A4" w:rsidRPr="00C841BE">
        <w:rPr>
          <w:rFonts w:ascii="Times New Roman" w:hAnsi="Times New Roman" w:cs="Times New Roman"/>
          <w:b/>
          <w:bCs/>
          <w:color w:val="4472C4" w:themeColor="accent5"/>
          <w:sz w:val="24"/>
          <w:szCs w:val="24"/>
          <w:lang w:val="fr-FR"/>
        </w:rPr>
        <w:t>Formare</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profesională</w:t>
      </w:r>
      <w:proofErr w:type="spellEnd"/>
      <w:r w:rsidR="008850A4" w:rsidRPr="00C841BE">
        <w:rPr>
          <w:rFonts w:ascii="Times New Roman" w:hAnsi="Times New Roman" w:cs="Times New Roman"/>
          <w:b/>
          <w:bCs/>
          <w:color w:val="4472C4" w:themeColor="accent5"/>
          <w:sz w:val="24"/>
          <w:szCs w:val="24"/>
          <w:lang w:val="fr-FR"/>
        </w:rPr>
        <w:t xml:space="preserve"> – </w:t>
      </w:r>
      <w:proofErr w:type="spellStart"/>
      <w:r w:rsidR="008850A4" w:rsidRPr="00C841BE">
        <w:rPr>
          <w:rFonts w:ascii="Times New Roman" w:hAnsi="Times New Roman" w:cs="Times New Roman"/>
          <w:b/>
          <w:bCs/>
          <w:color w:val="4472C4" w:themeColor="accent5"/>
          <w:sz w:val="24"/>
          <w:szCs w:val="24"/>
          <w:lang w:val="fr-FR"/>
        </w:rPr>
        <w:t>furnizori</w:t>
      </w:r>
      <w:proofErr w:type="spellEnd"/>
      <w:r w:rsidR="008850A4" w:rsidRPr="00C841BE">
        <w:rPr>
          <w:rFonts w:ascii="Times New Roman" w:hAnsi="Times New Roman" w:cs="Times New Roman"/>
          <w:b/>
          <w:bCs/>
          <w:color w:val="4472C4" w:themeColor="accent5"/>
          <w:sz w:val="24"/>
          <w:szCs w:val="24"/>
          <w:lang w:val="fr-FR"/>
        </w:rPr>
        <w:t xml:space="preserve"> </w:t>
      </w:r>
      <w:proofErr w:type="spellStart"/>
      <w:r w:rsidR="008850A4" w:rsidRPr="00C841BE">
        <w:rPr>
          <w:rFonts w:ascii="Times New Roman" w:hAnsi="Times New Roman" w:cs="Times New Roman"/>
          <w:b/>
          <w:bCs/>
          <w:color w:val="4472C4" w:themeColor="accent5"/>
          <w:sz w:val="24"/>
          <w:szCs w:val="24"/>
          <w:lang w:val="fr-FR"/>
        </w:rPr>
        <w:t>acreditați</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din</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cadrul</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Programului</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Tranziție</w:t>
      </w:r>
      <w:proofErr w:type="spellEnd"/>
      <w:r w:rsidRPr="00C841BE">
        <w:rPr>
          <w:rFonts w:ascii="Times New Roman" w:hAnsi="Times New Roman" w:cs="Times New Roman"/>
          <w:b/>
          <w:bCs/>
          <w:color w:val="4472C4" w:themeColor="accent5"/>
          <w:sz w:val="24"/>
          <w:szCs w:val="24"/>
          <w:lang w:val="fr-FR"/>
        </w:rPr>
        <w:t xml:space="preserve"> </w:t>
      </w:r>
      <w:proofErr w:type="spellStart"/>
      <w:r w:rsidRPr="00C841BE">
        <w:rPr>
          <w:rFonts w:ascii="Times New Roman" w:hAnsi="Times New Roman" w:cs="Times New Roman"/>
          <w:b/>
          <w:bCs/>
          <w:color w:val="4472C4" w:themeColor="accent5"/>
          <w:sz w:val="24"/>
          <w:szCs w:val="24"/>
          <w:lang w:val="fr-FR"/>
        </w:rPr>
        <w:t>Justă</w:t>
      </w:r>
      <w:proofErr w:type="spellEnd"/>
      <w:r w:rsidRPr="00C841BE">
        <w:rPr>
          <w:rFonts w:ascii="Times New Roman" w:hAnsi="Times New Roman" w:cs="Times New Roman"/>
          <w:b/>
          <w:bCs/>
          <w:color w:val="4472C4" w:themeColor="accent5"/>
          <w:sz w:val="24"/>
          <w:szCs w:val="24"/>
          <w:lang w:val="fr-FR"/>
        </w:rPr>
        <w:t xml:space="preserve"> 2021 – 2027</w:t>
      </w:r>
    </w:p>
    <w:p w14:paraId="389C46AC" w14:textId="77777777" w:rsidR="006F6F5B" w:rsidRDefault="006F6F5B" w:rsidP="009E5C0F">
      <w:pPr>
        <w:spacing w:after="0" w:line="240" w:lineRule="auto"/>
        <w:jc w:val="both"/>
        <w:rPr>
          <w:rFonts w:ascii="Times New Roman" w:hAnsi="Times New Roman" w:cs="Times New Roman"/>
          <w:b/>
          <w:bCs/>
          <w:sz w:val="24"/>
          <w:szCs w:val="24"/>
          <w:lang w:val="fr-FR"/>
        </w:rPr>
      </w:pPr>
    </w:p>
    <w:p w14:paraId="7E678730" w14:textId="49B3D972"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tbl>
      <w:tblPr>
        <w:tblStyle w:val="GridTable4-Accent1"/>
        <w:tblW w:w="14029" w:type="dxa"/>
        <w:tblInd w:w="0" w:type="dxa"/>
        <w:shd w:val="clear" w:color="auto" w:fill="D9D9D9"/>
        <w:tblLayout w:type="fixed"/>
        <w:tblLook w:val="04A0" w:firstRow="1" w:lastRow="0" w:firstColumn="1" w:lastColumn="0" w:noHBand="0" w:noVBand="1"/>
      </w:tblPr>
      <w:tblGrid>
        <w:gridCol w:w="499"/>
        <w:gridCol w:w="7860"/>
        <w:gridCol w:w="1438"/>
        <w:gridCol w:w="4232"/>
      </w:tblGrid>
      <w:tr w:rsidR="00C841BE" w:rsidRPr="00C841BE" w14:paraId="57FAEC60" w14:textId="77777777" w:rsidTr="00C841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17861FE6" w14:textId="77777777" w:rsidR="00C841BE" w:rsidRPr="00C841BE" w:rsidRDefault="00C841BE" w:rsidP="00C841BE">
            <w:pPr>
              <w:jc w:val="both"/>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u w:val="single"/>
              </w:rPr>
              <w:t>Nr.</w:t>
            </w:r>
          </w:p>
        </w:tc>
        <w:tc>
          <w:tcPr>
            <w:tcW w:w="7860" w:type="dxa"/>
            <w:shd w:val="clear" w:color="auto" w:fill="D9D9D9"/>
            <w:vAlign w:val="center"/>
          </w:tcPr>
          <w:p w14:paraId="0F82899B" w14:textId="77777777" w:rsidR="00C841BE" w:rsidRPr="00C841BE" w:rsidRDefault="00C841BE" w:rsidP="00C841BE">
            <w:pPr>
              <w:jc w:val="both"/>
              <w:cnfStyle w:val="100000000000" w:firstRow="1" w:lastRow="0" w:firstColumn="0" w:lastColumn="0" w:oddVBand="0" w:evenVBand="0" w:oddHBand="0" w:evenHBand="0" w:firstRowFirstColumn="0" w:firstRowLastColumn="0" w:lastRowFirstColumn="0" w:lastRowLastColumn="0"/>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rPr>
              <w:t>Criteriu de selecție</w:t>
            </w:r>
          </w:p>
        </w:tc>
        <w:tc>
          <w:tcPr>
            <w:tcW w:w="1438" w:type="dxa"/>
            <w:shd w:val="clear" w:color="auto" w:fill="D9D9D9"/>
            <w:vAlign w:val="center"/>
          </w:tcPr>
          <w:p w14:paraId="1DE5CAFD" w14:textId="77777777" w:rsidR="00C841BE" w:rsidRPr="00C841BE" w:rsidRDefault="00C841BE" w:rsidP="00C841BE">
            <w:pPr>
              <w:jc w:val="both"/>
              <w:cnfStyle w:val="100000000000" w:firstRow="1" w:lastRow="0" w:firstColumn="0" w:lastColumn="0" w:oddVBand="0" w:evenVBand="0" w:oddHBand="0" w:evenHBand="0" w:firstRowFirstColumn="0" w:firstRowLastColumn="0" w:lastRowFirstColumn="0" w:lastRowLastColumn="0"/>
              <w:rPr>
                <w:rFonts w:ascii="Aptos Display" w:eastAsia="Calibri" w:hAnsi="Aptos Display" w:cs="Calibri"/>
                <w:color w:val="538135"/>
                <w:sz w:val="20"/>
                <w:szCs w:val="20"/>
              </w:rPr>
            </w:pPr>
            <w:r w:rsidRPr="00C841BE">
              <w:rPr>
                <w:rFonts w:ascii="Aptos Display" w:eastAsia="Calibri" w:hAnsi="Aptos Display" w:cs="Calibri"/>
                <w:color w:val="538135"/>
                <w:sz w:val="20"/>
                <w:szCs w:val="20"/>
              </w:rPr>
              <w:t>Punctaj maxim acordat</w:t>
            </w:r>
          </w:p>
        </w:tc>
        <w:tc>
          <w:tcPr>
            <w:tcW w:w="4232" w:type="dxa"/>
            <w:shd w:val="clear" w:color="auto" w:fill="D9D9D9"/>
          </w:tcPr>
          <w:p w14:paraId="13A910EC" w14:textId="77777777" w:rsidR="00C841BE" w:rsidRPr="00C841BE" w:rsidRDefault="00C841BE" w:rsidP="00C841BE">
            <w:pPr>
              <w:jc w:val="both"/>
              <w:cnfStyle w:val="100000000000" w:firstRow="1" w:lastRow="0" w:firstColumn="0" w:lastColumn="0" w:oddVBand="0" w:evenVBand="0" w:oddHBand="0" w:evenHBand="0" w:firstRowFirstColumn="0" w:firstRowLastColumn="0" w:lastRowFirstColumn="0" w:lastRowLastColumn="0"/>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rPr>
              <w:t>Motivația alegerii criteriului</w:t>
            </w:r>
          </w:p>
        </w:tc>
      </w:tr>
      <w:tr w:rsidR="00C841BE" w:rsidRPr="00C841BE" w14:paraId="74B57700"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504AF305" w14:textId="77777777" w:rsidR="00C841BE" w:rsidRPr="00C841BE" w:rsidRDefault="00C841BE" w:rsidP="00C841BE">
            <w:pPr>
              <w:jc w:val="both"/>
              <w:rPr>
                <w:rFonts w:ascii="Aptos Display" w:eastAsia="Calibri" w:hAnsi="Aptos Display" w:cs="Calibri"/>
                <w:color w:val="538135"/>
                <w:sz w:val="20"/>
                <w:szCs w:val="20"/>
                <w:u w:val="single"/>
              </w:rPr>
            </w:pPr>
            <w:r w:rsidRPr="00C841BE">
              <w:rPr>
                <w:rFonts w:ascii="Aptos Display" w:eastAsia="Calibri" w:hAnsi="Aptos Display" w:cs="Calibri"/>
                <w:color w:val="538135"/>
                <w:sz w:val="20"/>
                <w:szCs w:val="20"/>
                <w:u w:val="single"/>
              </w:rPr>
              <w:t>A.</w:t>
            </w:r>
          </w:p>
        </w:tc>
        <w:tc>
          <w:tcPr>
            <w:tcW w:w="7860" w:type="dxa"/>
            <w:shd w:val="clear" w:color="auto" w:fill="D9D9D9"/>
          </w:tcPr>
          <w:p w14:paraId="6659DFF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r w:rsidRPr="00C841BE">
              <w:rPr>
                <w:rFonts w:ascii="Aptos Display" w:eastAsia="Calibri" w:hAnsi="Aptos Display" w:cs="Calibri"/>
                <w:b/>
                <w:color w:val="538135"/>
                <w:sz w:val="20"/>
                <w:szCs w:val="20"/>
                <w:u w:val="single"/>
              </w:rPr>
              <w:t>RELEVANTA STRATEGICA - Contribuția proiectului la realizarea obiectivului acțiunii/priorității/obiectivului PTJ</w:t>
            </w:r>
          </w:p>
          <w:p w14:paraId="20F27FD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p>
          <w:p w14:paraId="12203FC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r w:rsidRPr="00C841BE">
              <w:rPr>
                <w:rFonts w:ascii="Aptos Display" w:eastAsia="Calibri" w:hAnsi="Aptos Display" w:cs="Calibri"/>
                <w:b/>
                <w:sz w:val="20"/>
                <w:szCs w:val="20"/>
                <w:u w:val="single"/>
              </w:rPr>
              <w:t>Obținerea a 0 puncte pentru oricare dintre criteriile de la această secțiune (A) conduce la excluderea proiectului de la finanțare.</w:t>
            </w:r>
          </w:p>
        </w:tc>
        <w:tc>
          <w:tcPr>
            <w:tcW w:w="1438" w:type="dxa"/>
            <w:shd w:val="clear" w:color="auto" w:fill="D9D9D9"/>
          </w:tcPr>
          <w:p w14:paraId="7A3B0D0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40 puncte</w:t>
            </w:r>
          </w:p>
          <w:p w14:paraId="4670BD8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p>
        </w:tc>
        <w:tc>
          <w:tcPr>
            <w:tcW w:w="4232" w:type="dxa"/>
            <w:shd w:val="clear" w:color="auto" w:fill="D9D9D9"/>
          </w:tcPr>
          <w:p w14:paraId="6E23F68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538135"/>
                <w:sz w:val="20"/>
                <w:szCs w:val="20"/>
                <w:u w:val="single"/>
              </w:rPr>
            </w:pPr>
          </w:p>
        </w:tc>
      </w:tr>
      <w:tr w:rsidR="00C841BE" w:rsidRPr="00C841BE" w14:paraId="49E7418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70A332CF" w14:textId="77777777" w:rsidR="00C841BE" w:rsidRPr="00C841BE" w:rsidRDefault="00C841BE" w:rsidP="00C841BE">
            <w:pPr>
              <w:jc w:val="both"/>
              <w:rPr>
                <w:rFonts w:ascii="Aptos Display" w:eastAsia="Calibri" w:hAnsi="Aptos Display" w:cs="Calibri"/>
                <w:sz w:val="20"/>
                <w:szCs w:val="20"/>
              </w:rPr>
            </w:pPr>
            <w:bookmarkStart w:id="1" w:name="_Hlk191365739"/>
            <w:r w:rsidRPr="00C841BE">
              <w:rPr>
                <w:rFonts w:ascii="Aptos Display" w:eastAsia="Calibri" w:hAnsi="Aptos Display" w:cs="Calibri"/>
                <w:sz w:val="20"/>
                <w:szCs w:val="20"/>
              </w:rPr>
              <w:t>A1</w:t>
            </w:r>
          </w:p>
        </w:tc>
        <w:tc>
          <w:tcPr>
            <w:tcW w:w="7860" w:type="dxa"/>
            <w:shd w:val="clear" w:color="auto" w:fill="D9D9D9"/>
          </w:tcPr>
          <w:p w14:paraId="3FE11A1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Măsura în care proiectul contribuie la realizarea obiectivelor strategiilor din domeniu prin soluționarea nevoilor specifice ale grupului țintă:</w:t>
            </w:r>
          </w:p>
          <w:p w14:paraId="39B3F8E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i/>
                <w:iCs/>
                <w:sz w:val="20"/>
                <w:szCs w:val="20"/>
              </w:rPr>
            </w:pPr>
          </w:p>
          <w:p w14:paraId="486036AB" w14:textId="77777777" w:rsidR="00C841BE" w:rsidRPr="00C841BE" w:rsidRDefault="00C841BE" w:rsidP="00C841BE">
            <w:pPr>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fundamentarea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Cererii</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finanțare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solicitantul</w:t>
            </w:r>
            <w:proofErr w:type="spellEnd"/>
            <w:r w:rsidRPr="00C841BE">
              <w:rPr>
                <w:rFonts w:ascii="Aptos Display" w:eastAsia="Calibri" w:hAnsi="Aptos Display" w:cs="Calibri"/>
                <w:bCs/>
                <w:i/>
                <w:iCs/>
                <w:color w:val="000000"/>
                <w:sz w:val="20"/>
                <w:szCs w:val="20"/>
                <w:lang w:val="en-GB"/>
              </w:rPr>
              <w:t xml:space="preserve"> a </w:t>
            </w:r>
            <w:proofErr w:type="spellStart"/>
            <w:r w:rsidRPr="00C841BE">
              <w:rPr>
                <w:rFonts w:ascii="Aptos Display" w:eastAsia="Calibri" w:hAnsi="Aptos Display" w:cs="Calibri"/>
                <w:bCs/>
                <w:i/>
                <w:iCs/>
                <w:color w:val="000000"/>
                <w:sz w:val="20"/>
                <w:szCs w:val="20"/>
                <w:lang w:val="en-GB"/>
              </w:rPr>
              <w:t>detaliat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mod </w:t>
            </w:r>
            <w:proofErr w:type="spellStart"/>
            <w:r w:rsidRPr="00C841BE">
              <w:rPr>
                <w:rFonts w:ascii="Aptos Display" w:eastAsia="Calibri" w:hAnsi="Aptos Display" w:cs="Calibri"/>
                <w:bCs/>
                <w:i/>
                <w:iCs/>
                <w:color w:val="000000"/>
                <w:sz w:val="20"/>
                <w:szCs w:val="20"/>
                <w:lang w:val="en-GB"/>
              </w:rPr>
              <w:t>clar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concret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Planul</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formare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profesională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aferent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proiectului</w:t>
            </w:r>
            <w:proofErr w:type="spellEnd"/>
            <w:proofErr w:type="gramStart"/>
            <w:r w:rsidRPr="00C841BE">
              <w:rPr>
                <w:rFonts w:ascii="Aptos Display" w:eastAsia="Calibri" w:hAnsi="Aptos Display" w:cs="Calibri"/>
                <w:bCs/>
                <w:i/>
                <w:iCs/>
                <w:color w:val="000000"/>
                <w:sz w:val="20"/>
                <w:szCs w:val="20"/>
                <w:lang w:val="en-GB"/>
              </w:rPr>
              <w:t>.</w:t>
            </w:r>
            <w:r w:rsidRPr="00C841BE">
              <w:rPr>
                <w:rFonts w:ascii="Trebuchet MS" w:eastAsia="Calibri" w:hAnsi="Trebuchet MS" w:cs="Trebuchet MS"/>
                <w:color w:val="000000"/>
                <w:sz w:val="24"/>
                <w:szCs w:val="24"/>
                <w:lang w:val="en-GB"/>
              </w:rPr>
              <w:t xml:space="preserve"> </w:t>
            </w:r>
            <w:r w:rsidRPr="00C841BE">
              <w:rPr>
                <w:rFonts w:ascii="Aptos Display" w:eastAsia="Calibri" w:hAnsi="Aptos Display" w:cs="Calibri"/>
                <w:bCs/>
                <w:i/>
                <w:iCs/>
                <w:color w:val="000000"/>
                <w:sz w:val="20"/>
                <w:szCs w:val="20"/>
                <w:lang w:val="en-GB"/>
              </w:rPr>
              <w:t>,</w:t>
            </w:r>
            <w:proofErr w:type="gram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baza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unei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cercetări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proprii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fundamentată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baza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analizerlor</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piață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statistice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atât</w:t>
            </w:r>
            <w:proofErr w:type="spellEnd"/>
            <w:r w:rsidRPr="00C841BE">
              <w:rPr>
                <w:rFonts w:ascii="Aptos Display" w:eastAsia="Calibri" w:hAnsi="Aptos Display" w:cs="Calibri"/>
                <w:bCs/>
                <w:i/>
                <w:iCs/>
                <w:color w:val="000000"/>
                <w:sz w:val="20"/>
                <w:szCs w:val="20"/>
                <w:lang w:val="en-GB"/>
              </w:rPr>
              <w:t xml:space="preserve"> la </w:t>
            </w:r>
            <w:proofErr w:type="spellStart"/>
            <w:r w:rsidRPr="00C841BE">
              <w:rPr>
                <w:rFonts w:ascii="Aptos Display" w:eastAsia="Calibri" w:hAnsi="Aptos Display" w:cs="Calibri"/>
                <w:bCs/>
                <w:i/>
                <w:iCs/>
                <w:color w:val="000000"/>
                <w:sz w:val="20"/>
                <w:szCs w:val="20"/>
                <w:lang w:val="en-GB"/>
              </w:rPr>
              <w:t>nivelul</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populației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zonei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tință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vizate</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proiect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cât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la </w:t>
            </w:r>
            <w:proofErr w:type="spellStart"/>
            <w:r w:rsidRPr="00C841BE">
              <w:rPr>
                <w:rFonts w:ascii="Aptos Display" w:eastAsia="Calibri" w:hAnsi="Aptos Display" w:cs="Calibri"/>
                <w:bCs/>
                <w:i/>
                <w:iCs/>
                <w:color w:val="000000"/>
                <w:sz w:val="20"/>
                <w:szCs w:val="20"/>
                <w:lang w:val="en-GB"/>
              </w:rPr>
              <w:t>nivelul</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angajatorilor</w:t>
            </w:r>
            <w:proofErr w:type="spellEnd"/>
            <w:r w:rsidRPr="00C841BE">
              <w:rPr>
                <w:rFonts w:ascii="Aptos Display" w:eastAsia="Calibri" w:hAnsi="Aptos Display" w:cs="Calibri"/>
                <w:bCs/>
                <w:i/>
                <w:iCs/>
                <w:color w:val="000000"/>
                <w:sz w:val="20"/>
                <w:szCs w:val="20"/>
                <w:lang w:val="en-GB"/>
              </w:rPr>
              <w:t xml:space="preserve"> din </w:t>
            </w:r>
            <w:proofErr w:type="spellStart"/>
            <w:r w:rsidRPr="00C841BE">
              <w:rPr>
                <w:rFonts w:ascii="Aptos Display" w:eastAsia="Calibri" w:hAnsi="Aptos Display" w:cs="Calibri"/>
                <w:bCs/>
                <w:i/>
                <w:iCs/>
                <w:color w:val="000000"/>
                <w:sz w:val="20"/>
                <w:szCs w:val="20"/>
                <w:lang w:val="en-GB"/>
              </w:rPr>
              <w:t>aceeași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zonă</w:t>
            </w:r>
            <w:proofErr w:type="spellEnd"/>
            <w:r w:rsidRPr="00C841BE">
              <w:rPr>
                <w:rFonts w:ascii="Aptos Display" w:eastAsia="Calibri" w:hAnsi="Aptos Display" w:cs="Calibri"/>
                <w:bCs/>
                <w:i/>
                <w:iCs/>
                <w:color w:val="000000"/>
                <w:sz w:val="20"/>
                <w:szCs w:val="20"/>
                <w:lang w:val="en-GB"/>
              </w:rPr>
              <w:t>.</w:t>
            </w:r>
          </w:p>
          <w:p w14:paraId="2E1E10EB" w14:textId="77777777" w:rsidR="00C841BE" w:rsidRPr="00C841BE"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
          <w:p w14:paraId="527BD632" w14:textId="77777777" w:rsidR="00C841BE" w:rsidRPr="00C841BE" w:rsidRDefault="00C841BE" w:rsidP="00C841BE">
            <w:pPr>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roofErr w:type="spellStart"/>
            <w:r w:rsidRPr="00C841BE">
              <w:rPr>
                <w:rFonts w:ascii="Aptos Display" w:eastAsia="Calibri" w:hAnsi="Aptos Display" w:cs="Calibri"/>
                <w:bCs/>
                <w:i/>
                <w:iCs/>
                <w:color w:val="000000"/>
                <w:sz w:val="20"/>
                <w:szCs w:val="20"/>
                <w:lang w:val="en-GB"/>
              </w:rPr>
              <w:t>Planul</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formare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profesională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aferent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proiectului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este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sinergic</w:t>
            </w:r>
            <w:proofErr w:type="spellEnd"/>
            <w:r w:rsidRPr="00C841BE">
              <w:rPr>
                <w:rFonts w:ascii="Aptos Display" w:eastAsia="Calibri" w:hAnsi="Aptos Display" w:cs="Calibri"/>
                <w:bCs/>
                <w:i/>
                <w:iCs/>
                <w:color w:val="000000"/>
                <w:sz w:val="20"/>
                <w:szCs w:val="20"/>
                <w:lang w:val="en-GB"/>
              </w:rPr>
              <w:t>:</w:t>
            </w:r>
          </w:p>
          <w:p w14:paraId="73D5194C" w14:textId="77777777" w:rsidR="00C841BE" w:rsidRPr="00C841BE"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sidRPr="00C841BE">
              <w:rPr>
                <w:rFonts w:ascii="Aptos Display" w:eastAsia="Calibri" w:hAnsi="Aptos Display" w:cs="Calibri"/>
                <w:bCs/>
                <w:i/>
                <w:iCs/>
                <w:color w:val="000000"/>
                <w:sz w:val="20"/>
                <w:szCs w:val="20"/>
                <w:lang w:val="en-GB"/>
              </w:rPr>
              <w:t xml:space="preserve">a) </w:t>
            </w:r>
            <w:proofErr w:type="spellStart"/>
            <w:r w:rsidRPr="00C841BE">
              <w:rPr>
                <w:rFonts w:ascii="Aptos Display" w:eastAsia="Calibri" w:hAnsi="Aptos Display" w:cs="Calibri"/>
                <w:bCs/>
                <w:i/>
                <w:iCs/>
                <w:color w:val="000000"/>
                <w:sz w:val="20"/>
                <w:szCs w:val="20"/>
                <w:lang w:val="en-GB"/>
              </w:rPr>
              <w:t>respectă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prevederile</w:t>
            </w:r>
            <w:proofErr w:type="spellEnd"/>
            <w:r w:rsidRPr="00C841BE">
              <w:rPr>
                <w:rFonts w:ascii="Aptos Display" w:eastAsia="Calibri" w:hAnsi="Aptos Display" w:cs="Calibri"/>
                <w:bCs/>
                <w:i/>
                <w:iCs/>
                <w:color w:val="000000"/>
                <w:sz w:val="20"/>
                <w:szCs w:val="20"/>
                <w:lang w:val="en-GB"/>
              </w:rPr>
              <w:t xml:space="preserve"> OUG nr. 108/2022</w:t>
            </w:r>
            <w:r w:rsidRPr="00C841BE">
              <w:rPr>
                <w:rFonts w:ascii="Trebuchet MS" w:eastAsia="Calibri" w:hAnsi="Trebuchet MS" w:cs="Trebuchet MS"/>
                <w:color w:val="000000"/>
                <w:sz w:val="24"/>
                <w:szCs w:val="24"/>
                <w:lang w:val="en-GB"/>
              </w:rPr>
              <w:t xml:space="preserve"> </w:t>
            </w:r>
            <w:proofErr w:type="spellStart"/>
            <w:r w:rsidRPr="00C841BE">
              <w:rPr>
                <w:rFonts w:ascii="Aptos Display" w:eastAsia="Calibri" w:hAnsi="Aptos Display" w:cs="Calibri"/>
                <w:bCs/>
                <w:i/>
                <w:iCs/>
                <w:color w:val="000000"/>
                <w:sz w:val="20"/>
                <w:szCs w:val="20"/>
                <w:lang w:val="en-GB"/>
              </w:rPr>
              <w:t>privind</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decarbonizarea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sectorului</w:t>
            </w:r>
            <w:proofErr w:type="spellEnd"/>
            <w:r w:rsidRPr="00C841BE">
              <w:rPr>
                <w:rFonts w:ascii="Aptos Display" w:eastAsia="Calibri" w:hAnsi="Aptos Display" w:cs="Calibri"/>
                <w:bCs/>
                <w:i/>
                <w:iCs/>
                <w:color w:val="000000"/>
                <w:sz w:val="20"/>
                <w:szCs w:val="20"/>
                <w:lang w:val="en-GB"/>
              </w:rPr>
              <w:t xml:space="preserve"> energetic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este</w:t>
            </w:r>
            <w:proofErr w:type="spellEnd"/>
            <w:r w:rsidRPr="00C841BE">
              <w:rPr>
                <w:rFonts w:ascii="Aptos Display" w:eastAsia="Calibri" w:hAnsi="Aptos Display" w:cs="Calibri"/>
                <w:bCs/>
                <w:i/>
                <w:iCs/>
                <w:color w:val="000000"/>
                <w:sz w:val="20"/>
                <w:szCs w:val="20"/>
                <w:lang w:val="en-GB"/>
              </w:rPr>
              <w:t xml:space="preserve"> conform cu </w:t>
            </w:r>
            <w:proofErr w:type="spellStart"/>
            <w:r w:rsidRPr="00C841BE">
              <w:rPr>
                <w:rFonts w:ascii="Aptos Display" w:eastAsia="Calibri" w:hAnsi="Aptos Display" w:cs="Calibri"/>
                <w:bCs/>
                <w:i/>
                <w:iCs/>
                <w:color w:val="000000"/>
                <w:sz w:val="20"/>
                <w:szCs w:val="20"/>
                <w:lang w:val="en-GB"/>
              </w:rPr>
              <w:t>specificul</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domeniilor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aflate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creștere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economică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stabilite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prin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Planurile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teritoriale</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tranziție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justă</w:t>
            </w:r>
            <w:proofErr w:type="spellEnd"/>
            <w:r w:rsidRPr="00C841BE">
              <w:rPr>
                <w:rFonts w:ascii="Aptos Display" w:eastAsia="Calibri" w:hAnsi="Aptos Display" w:cs="Calibri"/>
                <w:bCs/>
                <w:i/>
                <w:iCs/>
                <w:color w:val="000000"/>
                <w:sz w:val="20"/>
                <w:szCs w:val="20"/>
                <w:lang w:val="en-GB"/>
              </w:rPr>
              <w:t xml:space="preserve"> elaborate de </w:t>
            </w:r>
            <w:proofErr w:type="spellStart"/>
            <w:r w:rsidRPr="00C841BE">
              <w:rPr>
                <w:rFonts w:ascii="Aptos Display" w:eastAsia="Calibri" w:hAnsi="Aptos Display" w:cs="Calibri"/>
                <w:bCs/>
                <w:i/>
                <w:iCs/>
                <w:color w:val="000000"/>
                <w:sz w:val="20"/>
                <w:szCs w:val="20"/>
                <w:lang w:val="en-GB"/>
              </w:rPr>
              <w:t>fiecare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județ</w:t>
            </w:r>
            <w:proofErr w:type="spellEnd"/>
            <w:r w:rsidRPr="00C841BE">
              <w:rPr>
                <w:rFonts w:ascii="Aptos Display" w:eastAsia="Calibri" w:hAnsi="Aptos Display" w:cs="Calibri"/>
                <w:bCs/>
                <w:i/>
                <w:iCs/>
                <w:color w:val="000000"/>
                <w:sz w:val="20"/>
                <w:szCs w:val="20"/>
                <w:lang w:val="en-GB"/>
              </w:rPr>
              <w:t xml:space="preserve"> (Gorj, Hunedoara, Dolj, </w:t>
            </w:r>
            <w:proofErr w:type="spellStart"/>
            <w:r w:rsidRPr="00C841BE">
              <w:rPr>
                <w:rFonts w:ascii="Aptos Display" w:eastAsia="Calibri" w:hAnsi="Aptos Display" w:cs="Calibri"/>
                <w:bCs/>
                <w:i/>
                <w:iCs/>
                <w:color w:val="000000"/>
                <w:sz w:val="20"/>
                <w:szCs w:val="20"/>
                <w:lang w:val="en-GB"/>
              </w:rPr>
              <w:t>Galați</w:t>
            </w:r>
            <w:proofErr w:type="spellEnd"/>
            <w:r w:rsidRPr="00C841BE">
              <w:rPr>
                <w:rFonts w:ascii="Aptos Display" w:eastAsia="Calibri" w:hAnsi="Aptos Display" w:cs="Calibri"/>
                <w:bCs/>
                <w:i/>
                <w:iCs/>
                <w:color w:val="000000"/>
                <w:sz w:val="20"/>
                <w:szCs w:val="20"/>
                <w:lang w:val="en-GB"/>
              </w:rPr>
              <w:t xml:space="preserve">, Prahova, Mureș)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menționate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cadrul</w:t>
            </w:r>
            <w:proofErr w:type="spellEnd"/>
            <w:r w:rsidRPr="00C841BE">
              <w:rPr>
                <w:rFonts w:ascii="Aptos Display" w:eastAsia="Calibri" w:hAnsi="Aptos Display" w:cs="Calibri"/>
                <w:bCs/>
                <w:i/>
                <w:iCs/>
                <w:color w:val="000000"/>
                <w:sz w:val="20"/>
                <w:szCs w:val="20"/>
                <w:lang w:val="en-GB"/>
              </w:rPr>
              <w:t xml:space="preserve"> PTJ;</w:t>
            </w:r>
          </w:p>
          <w:p w14:paraId="51387058" w14:textId="77777777" w:rsidR="00C841BE" w:rsidRPr="00C841BE"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sidRPr="00C841BE">
              <w:rPr>
                <w:rFonts w:ascii="Aptos Display" w:eastAsia="Calibri" w:hAnsi="Aptos Display" w:cs="Calibri"/>
                <w:bCs/>
                <w:i/>
                <w:iCs/>
                <w:color w:val="000000"/>
                <w:sz w:val="20"/>
                <w:szCs w:val="20"/>
                <w:lang w:val="en-GB"/>
              </w:rPr>
              <w:t xml:space="preserve">b) include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elementele</w:t>
            </w:r>
            <w:proofErr w:type="spellEnd"/>
            <w:r w:rsidRPr="00C841BE">
              <w:rPr>
                <w:rFonts w:ascii="Aptos Display" w:eastAsia="Calibri" w:hAnsi="Aptos Display" w:cs="Calibri"/>
                <w:bCs/>
                <w:i/>
                <w:iCs/>
                <w:color w:val="000000"/>
                <w:sz w:val="20"/>
                <w:szCs w:val="20"/>
                <w:lang w:val="en-GB"/>
              </w:rPr>
              <w:t xml:space="preserve"> de </w:t>
            </w:r>
            <w:proofErr w:type="spellStart"/>
            <w:proofErr w:type="gramStart"/>
            <w:r w:rsidRPr="00C841BE">
              <w:rPr>
                <w:rFonts w:ascii="Aptos Display" w:eastAsia="Calibri" w:hAnsi="Aptos Display" w:cs="Calibri"/>
                <w:bCs/>
                <w:i/>
                <w:iCs/>
                <w:color w:val="000000"/>
                <w:sz w:val="20"/>
                <w:szCs w:val="20"/>
                <w:lang w:val="en-GB"/>
              </w:rPr>
              <w:t>formare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teme</w:t>
            </w:r>
            <w:proofErr w:type="spellEnd"/>
            <w:proofErr w:type="gram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specifice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referitoare</w:t>
            </w:r>
            <w:proofErr w:type="spellEnd"/>
            <w:r w:rsidRPr="00C841BE">
              <w:rPr>
                <w:rFonts w:ascii="Aptos Display" w:eastAsia="Calibri" w:hAnsi="Aptos Display" w:cs="Calibri"/>
                <w:bCs/>
                <w:i/>
                <w:iCs/>
                <w:color w:val="000000"/>
                <w:sz w:val="20"/>
                <w:szCs w:val="20"/>
                <w:lang w:val="en-GB"/>
              </w:rPr>
              <w:t xml:space="preserve"> la </w:t>
            </w:r>
            <w:proofErr w:type="spellStart"/>
            <w:r w:rsidRPr="00C841BE">
              <w:rPr>
                <w:rFonts w:ascii="Aptos Display" w:eastAsia="Calibri" w:hAnsi="Aptos Display" w:cs="Calibri"/>
                <w:bCs/>
                <w:i/>
                <w:iCs/>
                <w:color w:val="000000"/>
                <w:sz w:val="20"/>
                <w:szCs w:val="20"/>
                <w:lang w:val="en-GB"/>
              </w:rPr>
              <w:t>unul</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sau</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mai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multe</w:t>
            </w:r>
            <w:proofErr w:type="spellEnd"/>
            <w:r w:rsidRPr="00C841BE">
              <w:rPr>
                <w:rFonts w:ascii="Aptos Display" w:eastAsia="Calibri" w:hAnsi="Aptos Display" w:cs="Calibri"/>
                <w:bCs/>
                <w:i/>
                <w:iCs/>
                <w:color w:val="000000"/>
                <w:sz w:val="20"/>
                <w:szCs w:val="20"/>
                <w:lang w:val="en-GB"/>
              </w:rPr>
              <w:t xml:space="preserve"> din </w:t>
            </w:r>
            <w:proofErr w:type="spellStart"/>
            <w:r w:rsidRPr="00C841BE">
              <w:rPr>
                <w:rFonts w:ascii="Aptos Display" w:eastAsia="Calibri" w:hAnsi="Aptos Display" w:cs="Calibri"/>
                <w:bCs/>
                <w:i/>
                <w:iCs/>
                <w:color w:val="000000"/>
                <w:sz w:val="20"/>
                <w:szCs w:val="20"/>
                <w:lang w:val="en-GB"/>
              </w:rPr>
              <w:t>cele</w:t>
            </w:r>
            <w:proofErr w:type="spellEnd"/>
            <w:r w:rsidRPr="00C841BE">
              <w:rPr>
                <w:rFonts w:ascii="Aptos Display" w:eastAsia="Calibri" w:hAnsi="Aptos Display" w:cs="Calibri"/>
                <w:bCs/>
                <w:i/>
                <w:iCs/>
                <w:color w:val="000000"/>
                <w:sz w:val="20"/>
                <w:szCs w:val="20"/>
                <w:lang w:val="en-GB"/>
              </w:rPr>
              <w:t xml:space="preserve"> 6 </w:t>
            </w:r>
            <w:proofErr w:type="spellStart"/>
            <w:r w:rsidRPr="00C841BE">
              <w:rPr>
                <w:rFonts w:ascii="Aptos Display" w:eastAsia="Calibri" w:hAnsi="Aptos Display" w:cs="Calibri"/>
                <w:bCs/>
                <w:i/>
                <w:iCs/>
                <w:color w:val="000000"/>
                <w:sz w:val="20"/>
                <w:szCs w:val="20"/>
                <w:lang w:val="en-GB"/>
              </w:rPr>
              <w:t>obiective</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mediu</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pentru</w:t>
            </w:r>
            <w:proofErr w:type="spellEnd"/>
            <w:r w:rsidRPr="00C841BE">
              <w:rPr>
                <w:rFonts w:ascii="Aptos Display" w:eastAsia="Calibri" w:hAnsi="Aptos Display" w:cs="Calibri"/>
                <w:bCs/>
                <w:i/>
                <w:iCs/>
                <w:color w:val="000000"/>
                <w:sz w:val="20"/>
                <w:szCs w:val="20"/>
                <w:lang w:val="en-GB"/>
              </w:rPr>
              <w:t xml:space="preserve"> a </w:t>
            </w:r>
            <w:proofErr w:type="spellStart"/>
            <w:r w:rsidRPr="00C841BE">
              <w:rPr>
                <w:rFonts w:ascii="Aptos Display" w:eastAsia="Calibri" w:hAnsi="Aptos Display" w:cs="Calibri"/>
                <w:bCs/>
                <w:i/>
                <w:iCs/>
                <w:color w:val="000000"/>
                <w:sz w:val="20"/>
                <w:szCs w:val="20"/>
                <w:lang w:val="en-GB"/>
              </w:rPr>
              <w:t>demonstra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aplicarea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principiului</w:t>
            </w:r>
            <w:proofErr w:type="spellEnd"/>
            <w:r w:rsidRPr="00C841BE">
              <w:rPr>
                <w:rFonts w:ascii="Aptos Display" w:eastAsia="Calibri" w:hAnsi="Aptos Display" w:cs="Calibri"/>
                <w:bCs/>
                <w:i/>
                <w:iCs/>
                <w:color w:val="000000"/>
                <w:sz w:val="20"/>
                <w:szCs w:val="20"/>
                <w:lang w:val="en-GB"/>
              </w:rPr>
              <w:t xml:space="preserve"> DNSH („A </w:t>
            </w:r>
            <w:proofErr w:type="spellStart"/>
            <w:r w:rsidRPr="00C841BE">
              <w:rPr>
                <w:rFonts w:ascii="Aptos Display" w:eastAsia="Calibri" w:hAnsi="Aptos Display" w:cs="Calibri"/>
                <w:bCs/>
                <w:i/>
                <w:iCs/>
                <w:color w:val="000000"/>
                <w:sz w:val="20"/>
                <w:szCs w:val="20"/>
                <w:lang w:val="en-GB"/>
              </w:rPr>
              <w:t>nu</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lastRenderedPageBreak/>
              <w:t>prejudicia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mod </w:t>
            </w:r>
            <w:proofErr w:type="spellStart"/>
            <w:r w:rsidRPr="00C841BE">
              <w:rPr>
                <w:rFonts w:ascii="Aptos Display" w:eastAsia="Calibri" w:hAnsi="Aptos Display" w:cs="Calibri"/>
                <w:bCs/>
                <w:i/>
                <w:iCs/>
                <w:color w:val="000000"/>
                <w:sz w:val="20"/>
                <w:szCs w:val="20"/>
                <w:lang w:val="en-GB"/>
              </w:rPr>
              <w:t>semnificativ</w:t>
            </w:r>
            <w:proofErr w:type="spellEnd"/>
            <w:r w:rsidRPr="00C841BE">
              <w:rPr>
                <w:rFonts w:ascii="Aptos Display" w:eastAsia="Calibri" w:hAnsi="Aptos Display" w:cs="Calibri"/>
                <w:bCs/>
                <w:i/>
                <w:iCs/>
                <w:color w:val="000000"/>
                <w:sz w:val="20"/>
                <w:szCs w:val="20"/>
                <w:lang w:val="en-GB"/>
              </w:rPr>
              <w:t xml:space="preserve">”), precum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aspecte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referitoare</w:t>
            </w:r>
            <w:proofErr w:type="spellEnd"/>
            <w:r w:rsidRPr="00C841BE">
              <w:rPr>
                <w:rFonts w:ascii="Aptos Display" w:eastAsia="Calibri" w:hAnsi="Aptos Display" w:cs="Calibri"/>
                <w:bCs/>
                <w:i/>
                <w:iCs/>
                <w:color w:val="000000"/>
                <w:sz w:val="20"/>
                <w:szCs w:val="20"/>
                <w:lang w:val="en-GB"/>
              </w:rPr>
              <w:t xml:space="preserve"> la </w:t>
            </w:r>
            <w:proofErr w:type="spellStart"/>
            <w:r w:rsidRPr="00C841BE">
              <w:rPr>
                <w:rFonts w:ascii="Aptos Display" w:eastAsia="Calibri" w:hAnsi="Aptos Display" w:cs="Calibri"/>
                <w:bCs/>
                <w:i/>
                <w:iCs/>
                <w:color w:val="000000"/>
                <w:sz w:val="20"/>
                <w:szCs w:val="20"/>
                <w:lang w:val="en-GB"/>
              </w:rPr>
              <w:t>principiile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orizontale</w:t>
            </w:r>
            <w:proofErr w:type="spellEnd"/>
            <w:r w:rsidRPr="00C841BE">
              <w:rPr>
                <w:rFonts w:ascii="Aptos Display" w:eastAsia="Calibri" w:hAnsi="Aptos Display" w:cs="Calibri"/>
                <w:bCs/>
                <w:i/>
                <w:iCs/>
                <w:color w:val="000000"/>
                <w:sz w:val="20"/>
                <w:szCs w:val="20"/>
                <w:lang w:val="en-GB"/>
              </w:rPr>
              <w:t xml:space="preserve"> din </w:t>
            </w:r>
            <w:proofErr w:type="spellStart"/>
            <w:r w:rsidRPr="00C841BE">
              <w:rPr>
                <w:rFonts w:ascii="Aptos Display" w:eastAsia="Calibri" w:hAnsi="Aptos Display" w:cs="Calibri"/>
                <w:bCs/>
                <w:i/>
                <w:iCs/>
                <w:color w:val="000000"/>
                <w:sz w:val="20"/>
                <w:szCs w:val="20"/>
                <w:lang w:val="en-GB"/>
              </w:rPr>
              <w:t>ghid</w:t>
            </w:r>
            <w:proofErr w:type="spellEnd"/>
            <w:r w:rsidRPr="00C841BE">
              <w:rPr>
                <w:rFonts w:ascii="Aptos Display" w:eastAsia="Calibri" w:hAnsi="Aptos Display" w:cs="Calibri"/>
                <w:bCs/>
                <w:i/>
                <w:iCs/>
                <w:color w:val="000000"/>
                <w:sz w:val="20"/>
                <w:szCs w:val="20"/>
                <w:lang w:val="en-GB"/>
              </w:rPr>
              <w:t>;</w:t>
            </w:r>
          </w:p>
          <w:p w14:paraId="7D3AC3FF" w14:textId="77777777" w:rsidR="00C841BE" w:rsidRPr="00C841BE" w:rsidRDefault="00C841BE" w:rsidP="00C841BE">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r w:rsidRPr="00C841BE">
              <w:rPr>
                <w:rFonts w:ascii="Aptos Display" w:eastAsia="Calibri" w:hAnsi="Aptos Display" w:cs="Calibri"/>
                <w:bCs/>
                <w:i/>
                <w:iCs/>
                <w:color w:val="000000"/>
                <w:sz w:val="20"/>
                <w:szCs w:val="20"/>
                <w:lang w:val="en-GB"/>
              </w:rPr>
              <w:t xml:space="preserve">c) </w:t>
            </w:r>
            <w:proofErr w:type="spellStart"/>
            <w:r w:rsidRPr="00C841BE">
              <w:rPr>
                <w:rFonts w:ascii="Aptos Display" w:eastAsia="Calibri" w:hAnsi="Aptos Display" w:cs="Calibri"/>
                <w:bCs/>
                <w:i/>
                <w:iCs/>
                <w:color w:val="000000"/>
                <w:sz w:val="20"/>
                <w:szCs w:val="20"/>
                <w:lang w:val="en-GB"/>
              </w:rPr>
              <w:t>Proiectul</w:t>
            </w:r>
            <w:proofErr w:type="spellEnd"/>
            <w:r w:rsidRPr="00C841BE">
              <w:rPr>
                <w:rFonts w:ascii="Aptos Display" w:eastAsia="Calibri" w:hAnsi="Aptos Display" w:cs="Calibri"/>
                <w:bCs/>
                <w:i/>
                <w:iCs/>
                <w:color w:val="000000"/>
                <w:sz w:val="20"/>
                <w:szCs w:val="20"/>
                <w:lang w:val="en-GB"/>
              </w:rPr>
              <w:t xml:space="preserve"> include </w:t>
            </w:r>
            <w:proofErr w:type="spellStart"/>
            <w:r w:rsidRPr="00C841BE">
              <w:rPr>
                <w:rFonts w:ascii="Aptos Display" w:eastAsia="Calibri" w:hAnsi="Aptos Display" w:cs="Calibri"/>
                <w:bCs/>
                <w:i/>
                <w:iCs/>
                <w:color w:val="000000"/>
                <w:sz w:val="20"/>
                <w:szCs w:val="20"/>
                <w:lang w:val="en-GB"/>
              </w:rPr>
              <w:t>formarea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meserii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verzi</w:t>
            </w:r>
            <w:proofErr w:type="spellEnd"/>
            <w:r w:rsidRPr="00C841BE">
              <w:rPr>
                <w:rFonts w:ascii="Aptos Display" w:eastAsia="Calibri" w:hAnsi="Aptos Display" w:cs="Calibri"/>
                <w:bCs/>
                <w:i/>
                <w:iCs/>
                <w:color w:val="000000"/>
                <w:sz w:val="20"/>
                <w:szCs w:val="20"/>
                <w:lang w:val="en-GB"/>
              </w:rPr>
              <w:t xml:space="preserve"> (ex: </w:t>
            </w:r>
            <w:proofErr w:type="spellStart"/>
            <w:r w:rsidRPr="00C841BE">
              <w:rPr>
                <w:rFonts w:ascii="Aptos Display" w:eastAsia="Calibri" w:hAnsi="Aptos Display" w:cs="Calibri"/>
                <w:bCs/>
                <w:i/>
                <w:iCs/>
                <w:color w:val="000000"/>
                <w:sz w:val="20"/>
                <w:szCs w:val="20"/>
                <w:lang w:val="en-GB"/>
              </w:rPr>
              <w:t>Instalatori</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sisteme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fotovoltaice</w:t>
            </w:r>
            <w:proofErr w:type="spellEnd"/>
            <w:r w:rsidRPr="00C841BE">
              <w:rPr>
                <w:rFonts w:ascii="Aptos Display" w:eastAsia="Calibri" w:hAnsi="Aptos Display" w:cs="Calibri"/>
                <w:bCs/>
                <w:i/>
                <w:iCs/>
                <w:color w:val="000000"/>
                <w:sz w:val="20"/>
                <w:szCs w:val="20"/>
                <w:lang w:val="en-GB"/>
              </w:rPr>
              <w:t xml:space="preserve"> (PV), </w:t>
            </w:r>
            <w:proofErr w:type="spellStart"/>
            <w:r w:rsidRPr="00C841BE">
              <w:rPr>
                <w:rFonts w:ascii="Aptos Display" w:eastAsia="Calibri" w:hAnsi="Aptos Display" w:cs="Calibri"/>
                <w:bCs/>
                <w:i/>
                <w:iCs/>
                <w:color w:val="000000"/>
                <w:sz w:val="20"/>
                <w:szCs w:val="20"/>
                <w:lang w:val="en-GB"/>
              </w:rPr>
              <w:t>Tehnicieni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eficiență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energetică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Operatorii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reciclare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gestionarea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deșeurilor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Specialiști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energie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regenerabilă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și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economie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circulară</w:t>
            </w:r>
            <w:proofErr w:type="spellEnd"/>
            <w:r w:rsidRPr="00C841BE">
              <w:rPr>
                <w:rFonts w:ascii="Aptos Display" w:eastAsia="Calibri" w:hAnsi="Aptos Display" w:cs="Calibri"/>
                <w:bCs/>
                <w:i/>
                <w:iCs/>
                <w:color w:val="000000"/>
                <w:sz w:val="20"/>
                <w:szCs w:val="20"/>
                <w:lang w:val="en-GB"/>
              </w:rPr>
              <w:t xml:space="preserve"> etc.). </w:t>
            </w:r>
            <w:proofErr w:type="spellStart"/>
            <w:r w:rsidRPr="00C841BE">
              <w:rPr>
                <w:rFonts w:ascii="Aptos Display" w:eastAsia="Calibri" w:hAnsi="Aptos Display" w:cs="Calibri"/>
                <w:bCs/>
                <w:i/>
                <w:iCs/>
                <w:color w:val="000000"/>
                <w:sz w:val="20"/>
                <w:szCs w:val="20"/>
                <w:lang w:val="en-GB"/>
              </w:rPr>
              <w:t>Această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prioritizare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va</w:t>
            </w:r>
            <w:proofErr w:type="spellEnd"/>
            <w:r w:rsidRPr="00C841BE">
              <w:rPr>
                <w:rFonts w:ascii="Aptos Display" w:eastAsia="Calibri" w:hAnsi="Aptos Display" w:cs="Calibri"/>
                <w:bCs/>
                <w:i/>
                <w:iCs/>
                <w:color w:val="000000"/>
                <w:sz w:val="20"/>
                <w:szCs w:val="20"/>
                <w:lang w:val="en-GB"/>
              </w:rPr>
              <w:t xml:space="preserve"> fi </w:t>
            </w:r>
            <w:proofErr w:type="spellStart"/>
            <w:r w:rsidRPr="00C841BE">
              <w:rPr>
                <w:rFonts w:ascii="Aptos Display" w:eastAsia="Calibri" w:hAnsi="Aptos Display" w:cs="Calibri"/>
                <w:bCs/>
                <w:i/>
                <w:iCs/>
                <w:color w:val="000000"/>
                <w:sz w:val="20"/>
                <w:szCs w:val="20"/>
                <w:lang w:val="en-GB"/>
              </w:rPr>
              <w:t>punctată</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suplimentar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grila</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punctaj</w:t>
            </w:r>
            <w:proofErr w:type="spellEnd"/>
          </w:p>
          <w:p w14:paraId="527DFA48" w14:textId="77777777" w:rsidR="00C841BE" w:rsidRPr="00C841BE" w:rsidRDefault="00C841BE" w:rsidP="00C841BE">
            <w:pPr>
              <w:numPr>
                <w:ilvl w:val="0"/>
                <w:numId w:val="17"/>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color w:val="000000"/>
                <w:sz w:val="20"/>
                <w:szCs w:val="20"/>
                <w:lang w:val="en-GB"/>
              </w:rPr>
            </w:pP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Cererea</w:t>
            </w:r>
            <w:proofErr w:type="spellEnd"/>
            <w:r w:rsidRPr="00C841BE">
              <w:rPr>
                <w:rFonts w:ascii="Aptos Display" w:eastAsia="Calibri" w:hAnsi="Aptos Display" w:cs="Calibri"/>
                <w:bCs/>
                <w:i/>
                <w:iCs/>
                <w:color w:val="000000"/>
                <w:sz w:val="20"/>
                <w:szCs w:val="20"/>
                <w:lang w:val="en-GB"/>
              </w:rPr>
              <w:t xml:space="preserve"> de </w:t>
            </w:r>
            <w:proofErr w:type="spellStart"/>
            <w:r w:rsidRPr="00C841BE">
              <w:rPr>
                <w:rFonts w:ascii="Aptos Display" w:eastAsia="Calibri" w:hAnsi="Aptos Display" w:cs="Calibri"/>
                <w:bCs/>
                <w:i/>
                <w:iCs/>
                <w:color w:val="000000"/>
                <w:sz w:val="20"/>
                <w:szCs w:val="20"/>
                <w:lang w:val="en-GB"/>
              </w:rPr>
              <w:t>finanțare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solicitantul</w:t>
            </w:r>
            <w:proofErr w:type="spellEnd"/>
            <w:r w:rsidRPr="00C841BE">
              <w:rPr>
                <w:rFonts w:ascii="Aptos Display" w:eastAsia="Calibri" w:hAnsi="Aptos Display" w:cs="Calibri"/>
                <w:bCs/>
                <w:i/>
                <w:iCs/>
                <w:color w:val="000000"/>
                <w:sz w:val="20"/>
                <w:szCs w:val="20"/>
                <w:lang w:val="en-GB"/>
              </w:rPr>
              <w:t xml:space="preserve"> a </w:t>
            </w:r>
            <w:proofErr w:type="spellStart"/>
            <w:r w:rsidRPr="00C841BE">
              <w:rPr>
                <w:rFonts w:ascii="Aptos Display" w:eastAsia="Calibri" w:hAnsi="Aptos Display" w:cs="Calibri"/>
                <w:bCs/>
                <w:i/>
                <w:iCs/>
                <w:color w:val="000000"/>
                <w:sz w:val="20"/>
                <w:szCs w:val="20"/>
                <w:lang w:val="en-GB"/>
              </w:rPr>
              <w:t>detaliat</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mod </w:t>
            </w:r>
            <w:proofErr w:type="spellStart"/>
            <w:r w:rsidRPr="00C841BE">
              <w:rPr>
                <w:rFonts w:ascii="Aptos Display" w:eastAsia="Calibri" w:hAnsi="Aptos Display" w:cs="Calibri"/>
                <w:bCs/>
                <w:i/>
                <w:iCs/>
                <w:color w:val="000000"/>
                <w:sz w:val="20"/>
                <w:szCs w:val="20"/>
                <w:lang w:val="en-GB"/>
              </w:rPr>
              <w:t>clar</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modalitatea</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în</w:t>
            </w:r>
            <w:proofErr w:type="spellEnd"/>
            <w:r w:rsidRPr="00C841BE">
              <w:rPr>
                <w:rFonts w:ascii="Aptos Display" w:eastAsia="Calibri" w:hAnsi="Aptos Display" w:cs="Calibri"/>
                <w:bCs/>
                <w:i/>
                <w:iCs/>
                <w:color w:val="000000"/>
                <w:sz w:val="20"/>
                <w:szCs w:val="20"/>
                <w:lang w:val="en-GB"/>
              </w:rPr>
              <w:t xml:space="preserve"> care </w:t>
            </w:r>
            <w:proofErr w:type="spellStart"/>
            <w:r w:rsidRPr="00C841BE">
              <w:rPr>
                <w:rFonts w:ascii="Aptos Display" w:eastAsia="Calibri" w:hAnsi="Aptos Display" w:cs="Calibri"/>
                <w:bCs/>
                <w:i/>
                <w:iCs/>
                <w:color w:val="000000"/>
                <w:sz w:val="20"/>
                <w:szCs w:val="20"/>
                <w:lang w:val="en-GB"/>
              </w:rPr>
              <w:t>obiectivele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proiectului</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propus</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spre</w:t>
            </w:r>
            <w:proofErr w:type="spellEnd"/>
            <w:r w:rsidRPr="00C841BE">
              <w:rPr>
                <w:rFonts w:ascii="Aptos Display" w:eastAsia="Calibri" w:hAnsi="Aptos Display" w:cs="Calibri"/>
                <w:bCs/>
                <w:i/>
                <w:iCs/>
                <w:color w:val="000000"/>
                <w:sz w:val="20"/>
                <w:szCs w:val="20"/>
                <w:lang w:val="en-GB"/>
              </w:rPr>
              <w:t xml:space="preserve"> </w:t>
            </w:r>
            <w:proofErr w:type="spellStart"/>
            <w:r w:rsidRPr="00C841BE">
              <w:rPr>
                <w:rFonts w:ascii="Aptos Display" w:eastAsia="Calibri" w:hAnsi="Aptos Display" w:cs="Calibri"/>
                <w:bCs/>
                <w:i/>
                <w:iCs/>
                <w:color w:val="000000"/>
                <w:sz w:val="20"/>
                <w:szCs w:val="20"/>
                <w:lang w:val="en-GB"/>
              </w:rPr>
              <w:t>finanțare</w:t>
            </w:r>
            <w:proofErr w:type="spellEnd"/>
            <w:r w:rsidRPr="00C841BE">
              <w:rPr>
                <w:rFonts w:ascii="Aptos Display" w:eastAsia="Calibri" w:hAnsi="Aptos Display" w:cs="Calibri"/>
                <w:bCs/>
                <w:i/>
                <w:iCs/>
                <w:color w:val="000000"/>
                <w:sz w:val="20"/>
                <w:szCs w:val="20"/>
                <w:lang w:val="en-GB"/>
              </w:rPr>
              <w:t xml:space="preserve"> sunt corelate cu </w:t>
            </w:r>
            <w:proofErr w:type="spellStart"/>
            <w:r w:rsidRPr="00C841BE">
              <w:rPr>
                <w:rFonts w:ascii="Aptos Display" w:eastAsia="Calibri" w:hAnsi="Aptos Display" w:cs="Calibri"/>
                <w:bCs/>
                <w:i/>
                <w:iCs/>
                <w:color w:val="000000"/>
                <w:sz w:val="20"/>
                <w:szCs w:val="20"/>
                <w:lang w:val="en-GB"/>
              </w:rPr>
              <w:t>obiectivul</w:t>
            </w:r>
            <w:proofErr w:type="spellEnd"/>
            <w:r w:rsidRPr="00C841BE">
              <w:rPr>
                <w:rFonts w:ascii="Aptos Display" w:eastAsia="Calibri" w:hAnsi="Aptos Display" w:cs="Calibri"/>
                <w:bCs/>
                <w:i/>
                <w:iCs/>
                <w:color w:val="000000"/>
                <w:sz w:val="20"/>
                <w:szCs w:val="20"/>
                <w:lang w:val="en-GB"/>
              </w:rPr>
              <w:t xml:space="preserve"> specific PTJ.</w:t>
            </w:r>
          </w:p>
        </w:tc>
        <w:tc>
          <w:tcPr>
            <w:tcW w:w="1438" w:type="dxa"/>
            <w:shd w:val="clear" w:color="auto" w:fill="D9D9D9"/>
          </w:tcPr>
          <w:p w14:paraId="45F784AE"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15  puncte</w:t>
            </w:r>
          </w:p>
          <w:p w14:paraId="43A9EFF6"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696787A8"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3CC2953"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5</w:t>
            </w:r>
          </w:p>
          <w:p w14:paraId="0A5A2135"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3EB8AFBE"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E3ADC6C"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326F141"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802122B"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127FE75F"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p w14:paraId="4FDBE2A1"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1922064"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1DF1775E"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537D1F39"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223B1E4"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2E6C25B0"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5EE8AB7"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B4C3452"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57FFD37"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3A21EF23"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2DFE87B"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2E69D90" w14:textId="77777777" w:rsidR="00C841BE" w:rsidRPr="00C841BE" w:rsidRDefault="00C841BE" w:rsidP="00C841BE">
            <w:pPr>
              <w:tabs>
                <w:tab w:val="left" w:pos="402"/>
              </w:tabs>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tc>
        <w:tc>
          <w:tcPr>
            <w:tcW w:w="4232" w:type="dxa"/>
            <w:shd w:val="clear" w:color="auto" w:fill="D9D9D9"/>
          </w:tcPr>
          <w:p w14:paraId="04375FDA" w14:textId="77777777" w:rsidR="00C841BE" w:rsidRPr="00C841BE" w:rsidRDefault="00C841BE" w:rsidP="00C841BE">
            <w:p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În fundamentarea Cererii de finanțare, solicitantul a detaliat în mod clar și concret care sunt măsurile propuse spre finanțare care contribuie la sprijinirea obiectivelor PTTJ</w:t>
            </w:r>
          </w:p>
          <w:p w14:paraId="5B64ED0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42F9B498"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7C8984D" w14:textId="77777777" w:rsidR="00C841BE" w:rsidRPr="00C841BE" w:rsidRDefault="00C841BE" w:rsidP="00C841BE">
            <w:pPr>
              <w:jc w:val="both"/>
              <w:rPr>
                <w:rFonts w:ascii="Aptos Display" w:eastAsia="Calibri" w:hAnsi="Aptos Display" w:cs="Calibri"/>
                <w:sz w:val="20"/>
                <w:szCs w:val="20"/>
              </w:rPr>
            </w:pPr>
            <w:r w:rsidRPr="00C841BE">
              <w:rPr>
                <w:rFonts w:ascii="Aptos Display" w:eastAsia="Calibri" w:hAnsi="Aptos Display" w:cs="Calibri"/>
                <w:sz w:val="20"/>
                <w:szCs w:val="20"/>
              </w:rPr>
              <w:t>A2.</w:t>
            </w:r>
          </w:p>
        </w:tc>
        <w:tc>
          <w:tcPr>
            <w:tcW w:w="7860" w:type="dxa"/>
            <w:shd w:val="clear" w:color="auto" w:fill="D9D9D9"/>
          </w:tcPr>
          <w:p w14:paraId="7587A2C7" w14:textId="77777777" w:rsidR="00C841BE" w:rsidRPr="00C841BE" w:rsidRDefault="00C841BE" w:rsidP="00C841BE">
            <w:pPr>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Grupul țintă este definit clar și cuantificat inclusiv din perspectiva analizei de nevoi</w:t>
            </w:r>
          </w:p>
          <w:p w14:paraId="6F7CA03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1B1AEB18" w14:textId="77777777" w:rsidR="00C841BE" w:rsidRPr="00C841BE" w:rsidRDefault="00C841BE" w:rsidP="00C841BE">
            <w:pPr>
              <w:numPr>
                <w:ilvl w:val="0"/>
                <w:numId w:val="17"/>
              </w:numPr>
              <w:tabs>
                <w:tab w:val="left" w:pos="240"/>
              </w:tabs>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Categoriile de grup țintă sunt clar delimitate și identificate din perspectiva geografică și a nevoilor:</w:t>
            </w:r>
          </w:p>
          <w:p w14:paraId="72B9C976" w14:textId="77777777"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 xml:space="preserve"> a) persoanelor direct afectate de procesul de tranziție, respectiv lucrătorii proveniți de la angajatorii care activează în industriile aflate în procesul tranziție justă, conform PTJ, precum și furnizorii și clienții acestora din întregul lanț de producție, în teritoriile vizate ( ex. întreprinderile care își transformă procesul de producție pe domeniile verzi);</w:t>
            </w:r>
          </w:p>
          <w:p w14:paraId="5C72BA96" w14:textId="77777777"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b)persoanelor direct afectate de procesul de tranziție, respectiv lucrătorii proveniți de la angajatori care au primit finanțare din PTJ  prin acțiunea ”Dezvoltarea întreprinderilor și a antreprenoriatului” ;</w:t>
            </w:r>
          </w:p>
          <w:p w14:paraId="386CFD1C" w14:textId="77777777"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w:t>
            </w:r>
          </w:p>
          <w:p w14:paraId="4836F53C" w14:textId="77777777" w:rsidR="00C841BE" w:rsidRPr="00C841BE" w:rsidRDefault="00C841BE" w:rsidP="00C841BE">
            <w:pPr>
              <w:tabs>
                <w:tab w:val="left" w:pos="240"/>
              </w:tabs>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i/>
                <w:iCs/>
                <w:sz w:val="20"/>
                <w:szCs w:val="20"/>
              </w:rPr>
            </w:pPr>
          </w:p>
          <w:p w14:paraId="7F6AE55F" w14:textId="77777777" w:rsidR="00C841BE" w:rsidRPr="00C841BE" w:rsidRDefault="00C841BE" w:rsidP="00C841BE">
            <w:pPr>
              <w:numPr>
                <w:ilvl w:val="0"/>
                <w:numId w:val="17"/>
              </w:numPr>
              <w:tabs>
                <w:tab w:val="left" w:pos="240"/>
              </w:tabs>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p w14:paraId="42EE60E7"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Proiectul se adresează :</w:t>
            </w:r>
          </w:p>
          <w:p w14:paraId="4E084D44"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 persoanelor care se încadrează în categoria lucrătorilor defavorizați, a celor extrem de defavorizați și a lucrătorilor cu handicap;</w:t>
            </w:r>
          </w:p>
          <w:p w14:paraId="2F891141"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tinerilor cu vârsta de până la 29 ani;</w:t>
            </w:r>
          </w:p>
          <w:p w14:paraId="3867C581"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persoanel cu vârsta de peste 55 de ani;</w:t>
            </w:r>
          </w:p>
          <w:p w14:paraId="0010A602"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femeile;</w:t>
            </w:r>
          </w:p>
          <w:p w14:paraId="19BD3A6D"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membrii familiei monoparentale;</w:t>
            </w:r>
          </w:p>
          <w:p w14:paraId="0B7714B6"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membrii minorităților etnice;</w:t>
            </w:r>
          </w:p>
          <w:p w14:paraId="72623238"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tineri NEETs.</w:t>
            </w:r>
          </w:p>
          <w:p w14:paraId="3C2D8D84"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3A9ADC71" w14:textId="77777777" w:rsidR="00C841BE" w:rsidRPr="00C841BE" w:rsidRDefault="00C841BE" w:rsidP="00C841BE">
            <w:pPr>
              <w:numPr>
                <w:ilvl w:val="0"/>
                <w:numId w:val="17"/>
              </w:numPr>
              <w:tabs>
                <w:tab w:val="left" w:pos="240"/>
              </w:tabs>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Nevoile grupului țintă vizat prin proiect sunt identificate de către solicitant pe baza unei analize proprii, având ca surse informaționale alte studii, analize, date statistice și/sau cercetarea proprie.</w:t>
            </w:r>
          </w:p>
          <w:p w14:paraId="6207AC92" w14:textId="77777777" w:rsidR="00C841BE" w:rsidRPr="00C841BE" w:rsidRDefault="00C841BE" w:rsidP="00C841BE">
            <w:pPr>
              <w:tabs>
                <w:tab w:val="left" w:pos="240"/>
              </w:tabs>
              <w:ind w:left="720"/>
              <w:contextualSpacing/>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c>
          <w:tcPr>
            <w:tcW w:w="1438" w:type="dxa"/>
            <w:shd w:val="clear" w:color="auto" w:fill="D9D9D9"/>
          </w:tcPr>
          <w:p w14:paraId="5B744ED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color w:val="FF0000"/>
                <w:sz w:val="20"/>
                <w:szCs w:val="20"/>
              </w:rPr>
              <w:lastRenderedPageBreak/>
              <w:t xml:space="preserve">  </w:t>
            </w:r>
            <w:r w:rsidRPr="00C841BE">
              <w:rPr>
                <w:rFonts w:ascii="Aptos Display" w:eastAsia="Calibri" w:hAnsi="Aptos Display" w:cs="Calibri"/>
                <w:b/>
                <w:sz w:val="20"/>
                <w:szCs w:val="20"/>
                <w:u w:val="single"/>
              </w:rPr>
              <w:t xml:space="preserve">10puncte </w:t>
            </w:r>
          </w:p>
          <w:p w14:paraId="1801FE0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F7B1D8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512956E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39F6D97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E01A15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2F9865A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480444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7C75F3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69D50A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p w14:paraId="1C2CA21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77530A6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7C2ADD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292FEC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2C44AF3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202E78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p w14:paraId="2478633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3982C13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83A65F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2365B30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F9203A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FA253D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178225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38CA7AE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4AD9260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79523B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7F88651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2E9B315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2C0DEE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tc>
        <w:tc>
          <w:tcPr>
            <w:tcW w:w="4232" w:type="dxa"/>
            <w:shd w:val="clear" w:color="auto" w:fill="D9D9D9"/>
          </w:tcPr>
          <w:p w14:paraId="0C3406E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lastRenderedPageBreak/>
              <w:t>Prevederile art. 73 alin. (2) lit. (a) din Regulamentul (UE) nr. 1060/2021 conform căruia AM PTJ se asigură că operațiunile selectate sunt compatibile cu programul, inclusiv în ceea ce privește coerența lor cu strategiile relevante care stau la baza programului, precum și că contribuie efectiv la îndeplinirea obiectivelor specifice ale programului;</w:t>
            </w:r>
          </w:p>
        </w:tc>
      </w:tr>
      <w:tr w:rsidR="00C841BE" w:rsidRPr="00C841BE" w14:paraId="0CDBDE62"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091FB8C" w14:textId="77777777" w:rsidR="00C841BE" w:rsidRPr="00C841BE" w:rsidRDefault="00C841BE" w:rsidP="00C841BE">
            <w:pPr>
              <w:jc w:val="both"/>
              <w:rPr>
                <w:rFonts w:ascii="Aptos Display" w:eastAsia="Calibri" w:hAnsi="Aptos Display" w:cs="Calibri"/>
                <w:sz w:val="20"/>
                <w:szCs w:val="20"/>
              </w:rPr>
            </w:pPr>
            <w:r w:rsidRPr="00C841BE">
              <w:rPr>
                <w:rFonts w:ascii="Aptos Display" w:eastAsia="Calibri" w:hAnsi="Aptos Display" w:cs="Calibri"/>
                <w:sz w:val="20"/>
                <w:szCs w:val="20"/>
              </w:rPr>
              <w:t>A3</w:t>
            </w:r>
          </w:p>
        </w:tc>
        <w:tc>
          <w:tcPr>
            <w:tcW w:w="7860" w:type="dxa"/>
            <w:shd w:val="clear" w:color="auto" w:fill="D9D9D9"/>
          </w:tcPr>
          <w:p w14:paraId="7B6BD28B"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 xml:space="preserve">Proiectul contribuie prin activitățile propuse la promovarea principiilor orizontale prevăzute în Regulamentul (UE) nr. 2021/1056, art. 28, în Regulamentul (UE) 2021/1060 art. 9 și în Ghidului Solicitantului </w:t>
            </w:r>
          </w:p>
          <w:p w14:paraId="7279108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i/>
                <w:iCs/>
                <w:sz w:val="20"/>
                <w:szCs w:val="20"/>
              </w:rPr>
            </w:pPr>
          </w:p>
          <w:p w14:paraId="297C4EA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bCs/>
                <w:color w:val="000000"/>
                <w:sz w:val="24"/>
                <w:szCs w:val="24"/>
                <w:lang w:val="en-GB"/>
              </w:rPr>
            </w:pPr>
            <w:r w:rsidRPr="00C841BE">
              <w:rPr>
                <w:rFonts w:ascii="Aptos Display" w:eastAsia="Calibri" w:hAnsi="Aptos Display" w:cs="Calibri"/>
                <w:bCs/>
                <w:i/>
                <w:iCs/>
                <w:sz w:val="20"/>
                <w:szCs w:val="20"/>
              </w:rPr>
              <w:t>Respectarea condițiilor conform Lista de verificare privind asigurarea respectării Cartei drepturilor fundamentale a Uniunii Europene - Ghid de aplicare a Cartei drepturilor fundamentale a Uniunii Europene în implementarea fondurilor europene nerambursabile  aici .</w:t>
            </w:r>
          </w:p>
        </w:tc>
        <w:tc>
          <w:tcPr>
            <w:tcW w:w="1438" w:type="dxa"/>
            <w:shd w:val="clear" w:color="auto" w:fill="D9D9D9"/>
          </w:tcPr>
          <w:p w14:paraId="20E34D3E"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w:t>
            </w:r>
          </w:p>
          <w:p w14:paraId="4B1709CE"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4DE00C3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7414E6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F6AB17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0B281F5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1D46398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p w14:paraId="2A198E0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rPr>
            </w:pPr>
          </w:p>
        </w:tc>
        <w:tc>
          <w:tcPr>
            <w:tcW w:w="4232" w:type="dxa"/>
            <w:shd w:val="clear" w:color="auto" w:fill="D9D9D9"/>
          </w:tcPr>
          <w:p w14:paraId="3169FC1B"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Proiectul detaliază și cuantifică financiar măsurile de promovare a principiilor orizontale: egalitate de șanse și tratament egal între femei și bărbați și nediscriminare cu accent pe accesibilitatea persoanelor cu dizabilități. </w:t>
            </w:r>
          </w:p>
          <w:p w14:paraId="49F96AA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 </w:t>
            </w:r>
          </w:p>
          <w:p w14:paraId="007E6B0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73682E3A"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9EF00FC" w14:textId="77777777" w:rsidR="00C841BE" w:rsidRPr="00C841BE" w:rsidRDefault="00C841BE" w:rsidP="00C841BE">
            <w:pPr>
              <w:jc w:val="both"/>
              <w:rPr>
                <w:rFonts w:ascii="Aptos Display" w:eastAsia="Calibri" w:hAnsi="Aptos Display" w:cs="Calibri"/>
                <w:sz w:val="20"/>
                <w:szCs w:val="20"/>
              </w:rPr>
            </w:pPr>
            <w:r w:rsidRPr="00C841BE">
              <w:rPr>
                <w:rFonts w:ascii="Aptos Display" w:eastAsia="Calibri" w:hAnsi="Aptos Display" w:cs="Calibri"/>
                <w:sz w:val="20"/>
                <w:szCs w:val="20"/>
              </w:rPr>
              <w:t>A4</w:t>
            </w:r>
          </w:p>
        </w:tc>
        <w:tc>
          <w:tcPr>
            <w:tcW w:w="7860" w:type="dxa"/>
            <w:shd w:val="clear" w:color="auto" w:fill="D9D9D9"/>
          </w:tcPr>
          <w:p w14:paraId="1105AF69"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
                <w:i/>
                <w:iCs/>
                <w:sz w:val="20"/>
                <w:szCs w:val="20"/>
              </w:rPr>
              <w:t>Cererea de finanțare prezintă în mod concret modalitatea în care implementarea proiectului contribuie la promovarea criteriilor de prioritizare din PTJ 2021-2027</w:t>
            </w:r>
          </w:p>
          <w:p w14:paraId="22270180" w14:textId="77777777" w:rsidR="00C841BE" w:rsidRPr="00C841BE" w:rsidRDefault="00C841BE" w:rsidP="00C841BE">
            <w:pPr>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Prioritizarea formării profesionale pentru ocupațiile cu nivel de pregătire de bază și mediu aferente sectoarelor aferente domeniilor de specializare inteligentă</w:t>
            </w:r>
            <w:r w:rsidRPr="00C841BE">
              <w:rPr>
                <w:rFonts w:ascii="Trebuchet MS" w:eastAsia="Calibri" w:hAnsi="Trebuchet MS" w:cs="Trebuchet MS"/>
                <w:color w:val="000000"/>
                <w:sz w:val="24"/>
                <w:szCs w:val="24"/>
                <w:lang w:val="en-GB"/>
              </w:rPr>
              <w:t xml:space="preserve"> </w:t>
            </w:r>
            <w:r w:rsidRPr="00C841BE">
              <w:rPr>
                <w:rFonts w:ascii="Aptos Display" w:eastAsia="Calibri" w:hAnsi="Aptos Display" w:cs="Calibri"/>
                <w:bCs/>
                <w:i/>
                <w:iCs/>
                <w:sz w:val="20"/>
                <w:szCs w:val="20"/>
              </w:rPr>
              <w:t>conform RIS 3  (Strategiei pentru Specializare Inteligentă REGIONALĂ)  și altor sectoare cu potențial de dezvoltare durabilă, dar și sectoarelor economiei mediului (protecția mediului, servicii de alimentare cu apă și de canalizare, gestionarea deșeurilor, silvicultura, producția de energie regerabilă, reabilitare termică);</w:t>
            </w:r>
          </w:p>
          <w:p w14:paraId="4D71415F" w14:textId="77777777" w:rsidR="00C841BE" w:rsidRPr="00C841BE" w:rsidRDefault="00C841BE" w:rsidP="00C841BE">
            <w:pPr>
              <w:numPr>
                <w:ilvl w:val="0"/>
                <w:numId w:val="17"/>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i/>
                <w:iCs/>
                <w:sz w:val="20"/>
                <w:szCs w:val="20"/>
              </w:rPr>
            </w:pPr>
            <w:r w:rsidRPr="00C841BE">
              <w:rPr>
                <w:rFonts w:ascii="Aptos Display" w:eastAsia="Calibri" w:hAnsi="Aptos Display" w:cs="Calibri"/>
                <w:bCs/>
                <w:i/>
                <w:iCs/>
                <w:sz w:val="20"/>
                <w:szCs w:val="20"/>
              </w:rPr>
              <w:t>Luarea în considerare, la stabilirea și actualizarea nevoilor de formare, a Raportului CEDEFOP privind tendințele în evoluția cererii de competențe pe piața forței de muncă din România, a metodologiei prognozei pe termen mediu / lung a pieței muncii elaborate prin proiectul eSPOR - Relația cu angajatorii, precum și a aplicației de anticipare a nevoilor de calificare pe termen scurt și mediu/lung dezvoltat prin proiectul ReCONECT, - Adaptare la Schimbare, atunci când aceasta va fi disponibilă.</w:t>
            </w:r>
          </w:p>
        </w:tc>
        <w:tc>
          <w:tcPr>
            <w:tcW w:w="1438" w:type="dxa"/>
            <w:shd w:val="clear" w:color="auto" w:fill="D9D9D9"/>
          </w:tcPr>
          <w:p w14:paraId="0CE5CA5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w:t>
            </w:r>
          </w:p>
          <w:p w14:paraId="6690CDA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5C2ECCF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A7A3A9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3</w:t>
            </w:r>
          </w:p>
          <w:p w14:paraId="0E27377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187539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0F9F1B7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65ED092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518613F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p>
          <w:p w14:paraId="1FB88D9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rPr>
            </w:pPr>
            <w:r w:rsidRPr="00C841BE">
              <w:rPr>
                <w:rFonts w:ascii="Aptos Display" w:eastAsia="Calibri" w:hAnsi="Aptos Display" w:cs="Calibri"/>
                <w:b/>
                <w:sz w:val="20"/>
                <w:szCs w:val="20"/>
              </w:rPr>
              <w:t>2</w:t>
            </w:r>
          </w:p>
        </w:tc>
        <w:tc>
          <w:tcPr>
            <w:tcW w:w="4232" w:type="dxa"/>
            <w:shd w:val="clear" w:color="auto" w:fill="D9D9D9"/>
          </w:tcPr>
          <w:p w14:paraId="061C05A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Este prezentată în cadrul Cererii de finanțare modalitatea în care proiectul/măsurile propuse spre finanțare contribuie la implementarea temelor secundare „Contribuția la competențele verzi și la economia verde“ și Nediscriminarea”</w:t>
            </w:r>
          </w:p>
          <w:p w14:paraId="7C1111C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35E32D9F"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Proiectul contribuie direct la:</w:t>
            </w:r>
          </w:p>
          <w:p w14:paraId="675A0733"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recalificarea forței de muncă din sectoarele afectate de tranziția energetică;</w:t>
            </w:r>
          </w:p>
          <w:p w14:paraId="03D3129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dezvoltarea competențelor în domenii cu potențial de creștere durabilă;</w:t>
            </w:r>
          </w:p>
          <w:p w14:paraId="537CBCEA"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sprijinirea ocupării în sectoare emergente precum economia verde și digitală.</w:t>
            </w:r>
          </w:p>
        </w:tc>
      </w:tr>
      <w:tr w:rsidR="00C841BE" w:rsidRPr="00C841BE" w14:paraId="27EBC7A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7EC2635F"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A5</w:t>
            </w:r>
          </w:p>
        </w:tc>
        <w:tc>
          <w:tcPr>
            <w:tcW w:w="7860" w:type="dxa"/>
            <w:shd w:val="clear" w:color="auto" w:fill="D9D9D9"/>
          </w:tcPr>
          <w:p w14:paraId="026B40E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Localizarea investiției propuse a fi realizată în cadrul proiectului vizează:</w:t>
            </w:r>
          </w:p>
          <w:p w14:paraId="67A5AE7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Prioritizarea persoanelor cu domiciliul în fapt în zonele  marginalizate identificate la nivelul județului conform versiunii actualizate a Atlasului comunităților marginalizate, atunci când aceasta va fi disponibilă.</w:t>
            </w:r>
          </w:p>
          <w:p w14:paraId="5A22EF3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Notă</w:t>
            </w:r>
          </w:p>
          <w:p w14:paraId="093EDAC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Zonele defavorizate identificate în conformitate cu Studiul Disparități teritoriale în România (2021), sau alte zone identificate la nivelul teritoriului (exemplu: strategii de dezvoltare județeană, strategii de dezvoltare locale aprobate).</w:t>
            </w:r>
          </w:p>
          <w:p w14:paraId="4B5B018B"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Comunitățile marginalizate în conformitate cu Atlasul comunităților marginalizate disponibil la data lansării apelurilor. </w:t>
            </w:r>
          </w:p>
          <w:p w14:paraId="7D570CC1"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Zone rurale marginalizate în conformitate cu Atlasul Zonelor Rurale Marginalizate şi al Dezvoltării Umane Locale din România, disponibil la momentul lansării apelurilor.</w:t>
            </w:r>
          </w:p>
          <w:p w14:paraId="0F91517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Având în vedere indisponibilitatea formei actualizate a Atlasul comunităților marginalizate se va utiliza forma existentă a documentului, disponibilă la data deschiderii apelurilor.</w:t>
            </w:r>
          </w:p>
          <w:p w14:paraId="54EECD6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Dacă la data deschiderii apelurilor de proiecte in MYSMIS, Atlasul Zonelor Rurale Marginalizate şi al Dezvoltării Umane Locale din România nu este actualizat, proiectul se va analiza pe baza documentului respectiv existent (</w:t>
            </w:r>
            <w:r w:rsidRPr="00C841BE">
              <w:rPr>
                <w:rFonts w:ascii="Calibri" w:eastAsia="Calibri" w:hAnsi="Calibri" w:cs="Arial"/>
              </w:rPr>
              <w:fldChar w:fldCharType="begin"/>
            </w:r>
            <w:r w:rsidRPr="00C841BE">
              <w:rPr>
                <w:rFonts w:ascii="Calibri" w:eastAsia="Calibri" w:hAnsi="Calibri" w:cs="Arial"/>
              </w:rPr>
              <w:instrText>HYPERLINK "https://mmuncii.gov.ro/wp-content/uploads/2025/10/F6_Atlas_Rural_RO_23Mar2016.pdf"</w:instrText>
            </w:r>
            <w:r w:rsidRPr="00C841BE">
              <w:rPr>
                <w:rFonts w:ascii="Calibri" w:eastAsia="Calibri" w:hAnsi="Calibri" w:cs="Arial"/>
              </w:rPr>
            </w:r>
            <w:r w:rsidRPr="00C841BE">
              <w:rPr>
                <w:rFonts w:ascii="Calibri" w:eastAsia="Calibri" w:hAnsi="Calibri" w:cs="Arial"/>
              </w:rPr>
              <w:fldChar w:fldCharType="separate"/>
            </w:r>
            <w:r w:rsidRPr="00C841BE">
              <w:rPr>
                <w:rFonts w:ascii="Aptos Display" w:eastAsia="Calibri" w:hAnsi="Aptos Display" w:cs="Calibri"/>
                <w:bCs/>
                <w:i/>
                <w:iCs/>
                <w:color w:val="0563C1"/>
                <w:sz w:val="20"/>
                <w:szCs w:val="20"/>
                <w:u w:val="single"/>
              </w:rPr>
              <w:t>https://mmuncii.gov.ro/wp-content/uploads/2025/10/F6_Atlas_Rural_RO_23Mar2016.pdf</w:t>
            </w:r>
            <w:r w:rsidRPr="00C841BE">
              <w:rPr>
                <w:rFonts w:ascii="Calibri" w:eastAsia="Calibri" w:hAnsi="Calibri" w:cs="Arial"/>
              </w:rPr>
              <w:fldChar w:fldCharType="end"/>
            </w:r>
            <w:r w:rsidRPr="00C841BE">
              <w:rPr>
                <w:rFonts w:ascii="Aptos Display" w:eastAsia="Calibri" w:hAnsi="Aptos Display" w:cs="Calibri"/>
                <w:bCs/>
                <w:i/>
                <w:iCs/>
                <w:sz w:val="20"/>
                <w:szCs w:val="20"/>
              </w:rPr>
              <w:t xml:space="preserve"> ).  De asemenea, dacă la data deschiderii apelului de proiecte în MYSMIS, există alte documente la nivel de județ/local (ex. strategii de dezvoltare) care să identifice alte zone defavorizate la nivelul acestora, acestea vor fi justificate în cadrul cererii de finanțare și se vor anexa extrase din documentele respective pentru a putea fi luate în considerare în procesul de evaluare și selecție a cererilor de finanțare.</w:t>
            </w:r>
          </w:p>
          <w:p w14:paraId="684A780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1438" w:type="dxa"/>
            <w:shd w:val="clear" w:color="auto" w:fill="D9D9D9"/>
          </w:tcPr>
          <w:p w14:paraId="0BEA8FD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5 puncte</w:t>
            </w:r>
          </w:p>
        </w:tc>
        <w:tc>
          <w:tcPr>
            <w:tcW w:w="4232" w:type="dxa"/>
            <w:shd w:val="clear" w:color="auto" w:fill="D9D9D9"/>
          </w:tcPr>
          <w:p w14:paraId="409BE30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 xml:space="preserve">În conformitate cu prevederile PTJ, cu anumite excepții în funcție de specificul teritoriului, se menționează că acțiunile vizează prioritar zonele defavorizate cf. studiului Disparități teritoriale în România (2021). De asemenea, sunt vizate prioritar și comunitățile marginalizate cf. Atlasului comunităților marginalizate actualizat.  Pentru PH sunt menționate zonele defavorizate identificate </w:t>
            </w:r>
            <w:r w:rsidRPr="00C841BE">
              <w:rPr>
                <w:rFonts w:ascii="Aptos Display" w:eastAsia="Calibri" w:hAnsi="Aptos Display" w:cs="Calibri"/>
                <w:sz w:val="20"/>
                <w:szCs w:val="20"/>
              </w:rPr>
              <w:lastRenderedPageBreak/>
              <w:t>inițial în conformitate cu OUG nr. 24/1998 și, ulterior, conform OUG nr. 75/2000 deși, în prezent, regimul juridic special al acestor zone nu mai este activ. Aceste elemente sunt detaliate la nivelul ghidului solicitantului pentru fiecare teritoriu în parte.</w:t>
            </w:r>
          </w:p>
          <w:p w14:paraId="37621DF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Criteriu pentru crearea mecanismului juridic de asigurare a corespondenței între teritoriul eligibil conform PTJ și  tipurile de apeluri de proiecte.</w:t>
            </w:r>
          </w:p>
          <w:p w14:paraId="4A23BDE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Prevederile art. 73 alin. (1) din Regulamentul (UE) nr. 1060/2021 conform căruia AM PTJ se asigură că operațiunile selectate sunt compatibile cu programul, inclusiv în ceea ce privește coerența lor cu strategiile relevante care stau la baza programului, precum și că contribuie efectiv la îndeplinirea obiectivelor specifice ale programului</w:t>
            </w:r>
          </w:p>
          <w:p w14:paraId="583943D3" w14:textId="77777777" w:rsidR="00C841BE" w:rsidRPr="00C841BE" w:rsidRDefault="00C841BE" w:rsidP="00C841BE">
            <w:pPr>
              <w:ind w:left="720"/>
              <w:contextualSpacing/>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tc>
      </w:tr>
      <w:bookmarkEnd w:id="1"/>
      <w:tr w:rsidR="00C841BE" w:rsidRPr="00C841BE" w14:paraId="6363DB55"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1B561407" w14:textId="77777777" w:rsidR="00C841BE" w:rsidRPr="00C841BE" w:rsidRDefault="00C841BE" w:rsidP="00C841BE">
            <w:pPr>
              <w:jc w:val="both"/>
              <w:rPr>
                <w:rFonts w:ascii="Aptos Display" w:eastAsia="Calibri" w:hAnsi="Aptos Display" w:cs="Calibri"/>
                <w:color w:val="538135"/>
                <w:sz w:val="20"/>
                <w:szCs w:val="20"/>
                <w:u w:val="single"/>
              </w:rPr>
            </w:pPr>
            <w:r w:rsidRPr="00C841BE">
              <w:rPr>
                <w:rFonts w:ascii="Aptos Display" w:eastAsia="Calibri" w:hAnsi="Aptos Display" w:cs="Calibri"/>
                <w:sz w:val="20"/>
                <w:szCs w:val="20"/>
                <w:u w:val="single"/>
              </w:rPr>
              <w:lastRenderedPageBreak/>
              <w:t>B</w:t>
            </w:r>
          </w:p>
        </w:tc>
        <w:tc>
          <w:tcPr>
            <w:tcW w:w="7860" w:type="dxa"/>
            <w:shd w:val="clear" w:color="auto" w:fill="D9D9D9"/>
          </w:tcPr>
          <w:p w14:paraId="504B0E4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FF0000"/>
                <w:sz w:val="20"/>
                <w:szCs w:val="20"/>
                <w:u w:val="single"/>
              </w:rPr>
            </w:pPr>
            <w:r w:rsidRPr="00C841BE">
              <w:rPr>
                <w:rFonts w:ascii="Aptos Display" w:eastAsia="Calibri" w:hAnsi="Aptos Display" w:cs="Calibri"/>
                <w:b/>
                <w:bCs/>
              </w:rPr>
              <w:t xml:space="preserve">EFICACITATE - </w:t>
            </w:r>
            <w:r w:rsidRPr="00C841BE">
              <w:rPr>
                <w:rFonts w:ascii="Aptos Display" w:eastAsia="Calibri" w:hAnsi="Aptos Display" w:cs="Calibri"/>
                <w:b/>
                <w:bCs/>
                <w:sz w:val="20"/>
                <w:szCs w:val="20"/>
              </w:rPr>
              <w:t xml:space="preserve">măsura în care rezultatele așteptate ale proiectului contribuie la atingerea obiectivelor propuse </w:t>
            </w:r>
          </w:p>
          <w:p w14:paraId="6A6FD3C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FF0000"/>
                <w:sz w:val="20"/>
                <w:szCs w:val="20"/>
                <w:u w:val="single"/>
              </w:rPr>
            </w:pPr>
          </w:p>
        </w:tc>
        <w:tc>
          <w:tcPr>
            <w:tcW w:w="1438" w:type="dxa"/>
            <w:shd w:val="clear" w:color="auto" w:fill="D9D9D9"/>
          </w:tcPr>
          <w:p w14:paraId="5F1C10D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15 puncte</w:t>
            </w:r>
          </w:p>
        </w:tc>
        <w:tc>
          <w:tcPr>
            <w:tcW w:w="4232" w:type="dxa"/>
            <w:shd w:val="clear" w:color="auto" w:fill="D9D9D9"/>
          </w:tcPr>
          <w:p w14:paraId="52BE237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r>
      <w:tr w:rsidR="00C841BE" w:rsidRPr="00C841BE" w14:paraId="53A2E192" w14:textId="77777777" w:rsidTr="00C841BE">
        <w:trPr>
          <w:trHeight w:val="75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8E227D2"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B1</w:t>
            </w:r>
          </w:p>
        </w:tc>
        <w:tc>
          <w:tcPr>
            <w:tcW w:w="7860" w:type="dxa"/>
            <w:shd w:val="clear" w:color="auto" w:fill="D9D9D9"/>
          </w:tcPr>
          <w:p w14:paraId="671E51E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Indicatorii de realizare sunt obținuți direct din activitățile proiectului, țintele indicatorilor sunt realiste, cuantificate corect și pornesc de la valori de referință pentru a sprijini îndeplinirea obiectivelor proiectului.</w:t>
            </w:r>
          </w:p>
        </w:tc>
        <w:tc>
          <w:tcPr>
            <w:tcW w:w="1438" w:type="dxa"/>
            <w:shd w:val="clear" w:color="auto" w:fill="D9D9D9"/>
          </w:tcPr>
          <w:p w14:paraId="11389749"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43107DD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AB9B03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0AB51B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76B3B89"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7D7F76B"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33BBF6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062BA69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 Este realizată o corelare între cererea de finanțare și planul de formare din proiect.</w:t>
            </w:r>
          </w:p>
        </w:tc>
      </w:tr>
      <w:tr w:rsidR="00C841BE" w:rsidRPr="00C841BE" w14:paraId="552C74E8"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AB47B67"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B2</w:t>
            </w:r>
          </w:p>
        </w:tc>
        <w:tc>
          <w:tcPr>
            <w:tcW w:w="7860" w:type="dxa"/>
            <w:shd w:val="clear" w:color="auto" w:fill="D9D9D9"/>
          </w:tcPr>
          <w:p w14:paraId="68EEDE5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sz w:val="24"/>
                <w:szCs w:val="24"/>
                <w:lang w:val="en-GB"/>
              </w:rPr>
            </w:pPr>
            <w:r w:rsidRPr="00C841BE">
              <w:rPr>
                <w:rFonts w:ascii="Aptos Display" w:eastAsia="Calibri" w:hAnsi="Aptos Display" w:cs="Calibri"/>
                <w:b/>
                <w:bCs/>
                <w:sz w:val="20"/>
                <w:szCs w:val="20"/>
              </w:rPr>
              <w:t>Activitățile proiectului sunt clar definite, in cadrul acestora fiind prezentate în mod concret rezultatele aferente.</w:t>
            </w:r>
          </w:p>
        </w:tc>
        <w:tc>
          <w:tcPr>
            <w:tcW w:w="1438" w:type="dxa"/>
            <w:shd w:val="clear" w:color="auto" w:fill="D9D9D9"/>
          </w:tcPr>
          <w:p w14:paraId="2ED43A6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2 puncte</w:t>
            </w:r>
          </w:p>
          <w:p w14:paraId="1ED1148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560D3EB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In cererea de finantare este realizata corelarea intre rezultatele asteptate si activitatile propuse la finantare </w:t>
            </w:r>
          </w:p>
        </w:tc>
      </w:tr>
      <w:tr w:rsidR="00C841BE" w:rsidRPr="00C841BE" w14:paraId="258F50B7"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58DD47B"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B3</w:t>
            </w:r>
          </w:p>
        </w:tc>
        <w:tc>
          <w:tcPr>
            <w:tcW w:w="7860" w:type="dxa"/>
            <w:shd w:val="clear" w:color="auto" w:fill="D9D9D9"/>
          </w:tcPr>
          <w:p w14:paraId="4D1D314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În Cererea de finanțare este prezentată modalitatea în care rezultatele proiectului contribuie la realizarea obiectivelor de program. </w:t>
            </w:r>
          </w:p>
          <w:p w14:paraId="73F7316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rPr>
            </w:pPr>
          </w:p>
        </w:tc>
        <w:tc>
          <w:tcPr>
            <w:tcW w:w="1438" w:type="dxa"/>
            <w:shd w:val="clear" w:color="auto" w:fill="D9D9D9"/>
          </w:tcPr>
          <w:p w14:paraId="6D2FFFE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2 puncte</w:t>
            </w:r>
          </w:p>
          <w:p w14:paraId="6578607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61A57B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BA45CE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B8BE33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409815F6"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
        </w:tc>
      </w:tr>
      <w:tr w:rsidR="00C841BE" w:rsidRPr="00C841BE" w14:paraId="0253EC12" w14:textId="77777777" w:rsidTr="00C841BE">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61847DD"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B4</w:t>
            </w:r>
          </w:p>
        </w:tc>
        <w:tc>
          <w:tcPr>
            <w:tcW w:w="7860" w:type="dxa"/>
            <w:shd w:val="clear" w:color="auto" w:fill="D9D9D9"/>
          </w:tcPr>
          <w:p w14:paraId="6C89926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Este identificată modalitatea de recrutare a grupului țintă și sunt prevăzute activități/măsuri de monitorizare adaptate în funcție de complexitatea proiectului, pentru a asigura atingerea rezultatelor vizate. </w:t>
            </w:r>
          </w:p>
        </w:tc>
        <w:tc>
          <w:tcPr>
            <w:tcW w:w="1438" w:type="dxa"/>
            <w:shd w:val="clear" w:color="auto" w:fill="D9D9D9"/>
          </w:tcPr>
          <w:p w14:paraId="74C3085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7924841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08EB678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49EE85E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5E94823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4F14824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8942695"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B5</w:t>
            </w:r>
          </w:p>
        </w:tc>
        <w:tc>
          <w:tcPr>
            <w:tcW w:w="7860" w:type="dxa"/>
            <w:shd w:val="clear" w:color="auto" w:fill="D9D9D9"/>
          </w:tcPr>
          <w:p w14:paraId="16991D3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a prezentat, suplimentar informațiilor din cererea de finanțare, o metodologie de identificare și selecție a grupului țintă </w:t>
            </w:r>
          </w:p>
        </w:tc>
        <w:tc>
          <w:tcPr>
            <w:tcW w:w="1438" w:type="dxa"/>
            <w:shd w:val="clear" w:color="auto" w:fill="D9D9D9"/>
          </w:tcPr>
          <w:p w14:paraId="0B03885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 punct</w:t>
            </w:r>
          </w:p>
        </w:tc>
        <w:tc>
          <w:tcPr>
            <w:tcW w:w="4232" w:type="dxa"/>
            <w:shd w:val="clear" w:color="auto" w:fill="D9D9D9"/>
          </w:tcPr>
          <w:p w14:paraId="21929A5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Cererea de finanțare este însoțită de Metodologia de identificare și selecție a grupului țintă </w:t>
            </w:r>
          </w:p>
          <w:p w14:paraId="1037FDE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27BA0A20"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0D5AA57"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B6</w:t>
            </w:r>
          </w:p>
        </w:tc>
        <w:tc>
          <w:tcPr>
            <w:tcW w:w="7860" w:type="dxa"/>
            <w:shd w:val="clear" w:color="auto" w:fill="D9D9D9"/>
          </w:tcPr>
          <w:p w14:paraId="7FF4A451"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a prezentat, suplimentar informațiilor din cererea de finanțare, o metodologie de monitorizare a proiectului </w:t>
            </w:r>
          </w:p>
          <w:p w14:paraId="6750BA0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tc>
        <w:tc>
          <w:tcPr>
            <w:tcW w:w="1438" w:type="dxa"/>
            <w:shd w:val="clear" w:color="auto" w:fill="D9D9D9"/>
          </w:tcPr>
          <w:p w14:paraId="1EFD691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 punct</w:t>
            </w:r>
          </w:p>
        </w:tc>
        <w:tc>
          <w:tcPr>
            <w:tcW w:w="4232" w:type="dxa"/>
            <w:shd w:val="clear" w:color="auto" w:fill="D9D9D9"/>
          </w:tcPr>
          <w:p w14:paraId="7AB5B3A7"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Cererea de finantare este însoțită de Metodologia de monitorizare a proiectului </w:t>
            </w:r>
          </w:p>
        </w:tc>
      </w:tr>
      <w:tr w:rsidR="00C841BE" w:rsidRPr="00C841BE" w14:paraId="36045680"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7233C3A"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B7</w:t>
            </w:r>
          </w:p>
        </w:tc>
        <w:tc>
          <w:tcPr>
            <w:tcW w:w="7860" w:type="dxa"/>
            <w:shd w:val="clear" w:color="auto" w:fill="D9D9D9"/>
          </w:tcPr>
          <w:p w14:paraId="0DCA454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În proiect sunt identificate ipotezele și riscurile majore care pot afecta atingerea obiectivelor proiectului și este prevăzut un plan de gestionare a acestora </w:t>
            </w:r>
          </w:p>
        </w:tc>
        <w:tc>
          <w:tcPr>
            <w:tcW w:w="1438" w:type="dxa"/>
            <w:shd w:val="clear" w:color="auto" w:fill="D9D9D9"/>
          </w:tcPr>
          <w:p w14:paraId="23D178B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 punct</w:t>
            </w:r>
          </w:p>
        </w:tc>
        <w:tc>
          <w:tcPr>
            <w:tcW w:w="4232" w:type="dxa"/>
            <w:shd w:val="clear" w:color="auto" w:fill="D9D9D9"/>
          </w:tcPr>
          <w:p w14:paraId="36109A83"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În secțiunea “Riscuri” sunt identificate riscurile majore care ar putea afecta desfășurarea proiectului și atingerea indicatorilor propuși; </w:t>
            </w:r>
          </w:p>
        </w:tc>
      </w:tr>
      <w:tr w:rsidR="00C841BE" w:rsidRPr="00C841BE" w14:paraId="645FD236"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5F774E34"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B8</w:t>
            </w:r>
          </w:p>
        </w:tc>
        <w:tc>
          <w:tcPr>
            <w:tcW w:w="7860" w:type="dxa"/>
            <w:shd w:val="clear" w:color="auto" w:fill="D9D9D9"/>
          </w:tcPr>
          <w:p w14:paraId="7F001BB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Valorile asumate ale indicatorului de rezultat EECR04 „Persoane care dobândesc o calificare la incetarea calității de participant“ sunt cuantificate și corelate cu indicatorul de realizare </w:t>
            </w:r>
          </w:p>
        </w:tc>
        <w:tc>
          <w:tcPr>
            <w:tcW w:w="1438" w:type="dxa"/>
            <w:shd w:val="clear" w:color="auto" w:fill="D9D9D9"/>
          </w:tcPr>
          <w:p w14:paraId="423370B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tc>
        <w:tc>
          <w:tcPr>
            <w:tcW w:w="4232" w:type="dxa"/>
            <w:shd w:val="clear" w:color="auto" w:fill="D9D9D9"/>
          </w:tcPr>
          <w:p w14:paraId="4A7778BD"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Functie de pragul procentual al realizarii (70%, 75% si 80%)</w:t>
            </w:r>
          </w:p>
        </w:tc>
      </w:tr>
      <w:tr w:rsidR="00C841BE" w:rsidRPr="00C841BE" w14:paraId="68303CC3"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B103C81"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w:t>
            </w:r>
          </w:p>
        </w:tc>
        <w:tc>
          <w:tcPr>
            <w:tcW w:w="7860" w:type="dxa"/>
            <w:shd w:val="clear" w:color="auto" w:fill="D9D9D9"/>
            <w:vAlign w:val="center"/>
          </w:tcPr>
          <w:p w14:paraId="48EE075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EFICIENTA - Operațiunile selectate prezintă cel mai bun raport între cuantumul sprijinului, activitățile desfășurate și îndeplinirea obiectivelor (art. 73 Reg. 2021/1060)</w:t>
            </w:r>
            <w:r w:rsidRPr="00C841BE">
              <w:rPr>
                <w:rFonts w:ascii="Calibri" w:eastAsia="Calibri" w:hAnsi="Calibri" w:cs="Arial"/>
              </w:rPr>
              <w:t xml:space="preserve"> </w:t>
            </w:r>
            <w:r w:rsidRPr="00C841BE">
              <w:rPr>
                <w:rFonts w:ascii="Aptos Display" w:eastAsia="Calibri" w:hAnsi="Aptos Display" w:cs="Calibri"/>
                <w:b/>
                <w:bCs/>
                <w:sz w:val="20"/>
                <w:szCs w:val="20"/>
              </w:rPr>
              <w:t xml:space="preserve">raportat la tipul de profesii / cursuri de calificare specific fiecarui proiect; nivelul de realizări și rezultate obținute cu costurile propuse ale proiectului (asigură utilizarea optimă a resurselor financiare în termeni de rezonabilitate a costurilor, fundamentarea bugetului, respectarea plafoanelor prevăzute în Ghidul). </w:t>
            </w:r>
          </w:p>
          <w:p w14:paraId="6E9D673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1438" w:type="dxa"/>
            <w:shd w:val="clear" w:color="auto" w:fill="D9D9D9"/>
          </w:tcPr>
          <w:p w14:paraId="278D2FBA"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u w:val="single"/>
              </w:rPr>
            </w:pPr>
            <w:r w:rsidRPr="00C841BE">
              <w:rPr>
                <w:rFonts w:ascii="Aptos Display" w:eastAsia="Calibri" w:hAnsi="Aptos Display" w:cs="Calibri"/>
                <w:b/>
                <w:bCs/>
                <w:sz w:val="20"/>
                <w:szCs w:val="20"/>
                <w:u w:val="single"/>
              </w:rPr>
              <w:t>40  puncte</w:t>
            </w:r>
          </w:p>
          <w:p w14:paraId="6E6CB38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5B3054C0"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r>
      <w:tr w:rsidR="00C841BE" w:rsidRPr="00C841BE" w14:paraId="3EB8A565" w14:textId="77777777" w:rsidTr="00C841BE">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1D97FE14"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C1</w:t>
            </w:r>
          </w:p>
        </w:tc>
        <w:tc>
          <w:tcPr>
            <w:tcW w:w="7860" w:type="dxa"/>
            <w:shd w:val="clear" w:color="auto" w:fill="D9D9D9"/>
          </w:tcPr>
          <w:p w14:paraId="6AFAF4B1"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Costurile incluse în buget sunt corelate cu nivelul pieței și sunt fundamentate prin analiza prezentată de solicitant. </w:t>
            </w:r>
          </w:p>
          <w:p w14:paraId="388A29A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276DC9F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b/>
                <w:bCs/>
                <w:sz w:val="20"/>
                <w:szCs w:val="20"/>
              </w:rPr>
              <w:t xml:space="preserve"> -</w:t>
            </w:r>
            <w:r w:rsidRPr="00C841BE">
              <w:rPr>
                <w:rFonts w:ascii="Aptos Display" w:eastAsia="Calibri" w:hAnsi="Aptos Display" w:cs="Calibri"/>
                <w:b/>
                <w:bCs/>
                <w:sz w:val="20"/>
                <w:szCs w:val="20"/>
              </w:rPr>
              <w:tab/>
            </w:r>
            <w:r w:rsidRPr="00C841BE">
              <w:rPr>
                <w:rFonts w:ascii="Aptos Display" w:eastAsia="Calibri" w:hAnsi="Aptos Display" w:cs="Calibri"/>
                <w:sz w:val="20"/>
                <w:szCs w:val="20"/>
              </w:rPr>
              <w:t>Costurile se încadrează în media de preț a pieței și justificate prin anexa privind justificarea rezonabilității costurilor, având minim 4 oferte atașate pentru fiecare serviciu/ echipament</w:t>
            </w:r>
          </w:p>
          <w:p w14:paraId="39E99C5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522065E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Necesarul de finanțare se justifică prin anexa privind stabilirea funding-gap</w:t>
            </w:r>
          </w:p>
          <w:p w14:paraId="3FF1A7F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34C52A7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lastRenderedPageBreak/>
              <w:t>-</w:t>
            </w:r>
            <w:r w:rsidRPr="00C841BE">
              <w:rPr>
                <w:rFonts w:ascii="Aptos Display" w:eastAsia="Calibri" w:hAnsi="Aptos Display" w:cs="Calibri"/>
                <w:sz w:val="20"/>
                <w:szCs w:val="20"/>
              </w:rPr>
              <w:tab/>
              <w:t>Cheltuielile proiectului respectă pragurile prevăzute în ghidul solicitantului</w:t>
            </w:r>
          </w:p>
          <w:p w14:paraId="0AFABD2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50370AD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6AA777C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35AAE46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tc>
        <w:tc>
          <w:tcPr>
            <w:tcW w:w="1438" w:type="dxa"/>
            <w:shd w:val="clear" w:color="auto" w:fill="D9D9D9"/>
          </w:tcPr>
          <w:p w14:paraId="780A59A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10  puncte</w:t>
            </w:r>
          </w:p>
          <w:p w14:paraId="401F3C8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0961080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A7E460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4</w:t>
            </w:r>
          </w:p>
          <w:p w14:paraId="0951E8B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65A853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79B5275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p w14:paraId="35B2C2F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5EF5F5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tc>
        <w:tc>
          <w:tcPr>
            <w:tcW w:w="4232" w:type="dxa"/>
            <w:shd w:val="clear" w:color="auto" w:fill="D9D9D9"/>
          </w:tcPr>
          <w:p w14:paraId="6B28867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standarde de cost etc.) </w:t>
            </w:r>
          </w:p>
          <w:p w14:paraId="0CBC17A5"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26E3CB4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Cererea de finanțare are atașată Analiza de piață pentru bunurile/serviciile/ lucrările achiziționate din bugetul eligibil al proiectului</w:t>
            </w:r>
            <w:r w:rsidRPr="00C841BE">
              <w:rPr>
                <w:rFonts w:ascii="Trebuchet MS" w:eastAsia="Calibri" w:hAnsi="Trebuchet MS" w:cs="Trebuchet MS"/>
                <w:color w:val="000000"/>
                <w:sz w:val="24"/>
                <w:szCs w:val="24"/>
                <w:lang w:val="en-GB"/>
              </w:rPr>
              <w:t xml:space="preserve">, </w:t>
            </w:r>
            <w:r w:rsidRPr="00C841BE">
              <w:rPr>
                <w:rFonts w:ascii="Aptos Display" w:eastAsia="Calibri" w:hAnsi="Aptos Display" w:cs="Calibri"/>
                <w:bCs/>
                <w:i/>
                <w:iCs/>
                <w:sz w:val="20"/>
                <w:szCs w:val="20"/>
              </w:rPr>
              <w:t xml:space="preserve">respectiv minim 4 oferte de preţ.. </w:t>
            </w:r>
          </w:p>
          <w:p w14:paraId="0BF9BDA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06EC9FB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Cs/>
                <w:i/>
                <w:iCs/>
                <w:sz w:val="20"/>
                <w:szCs w:val="20"/>
              </w:rPr>
              <w:t xml:space="preserve">NB. În cadrul analizei nu se fundamentează costul echipamentelor și serviciilor pentru care sunt stabilite plafoane maxime de decontare în Ghidul solicitantului </w:t>
            </w:r>
          </w:p>
        </w:tc>
      </w:tr>
      <w:tr w:rsidR="00C841BE" w:rsidRPr="00C841BE" w14:paraId="2AA76350" w14:textId="77777777" w:rsidTr="00C841BE">
        <w:trPr>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CADF313"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C2</w:t>
            </w:r>
          </w:p>
        </w:tc>
        <w:tc>
          <w:tcPr>
            <w:tcW w:w="7860" w:type="dxa"/>
            <w:shd w:val="clear" w:color="auto" w:fill="D9D9D9"/>
          </w:tcPr>
          <w:p w14:paraId="4853028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color w:val="1F3863"/>
                <w:lang w:val="en-GB"/>
              </w:rPr>
            </w:pPr>
            <w:r w:rsidRPr="00C841BE">
              <w:rPr>
                <w:rFonts w:ascii="Aptos Display" w:eastAsia="Calibri" w:hAnsi="Aptos Display" w:cs="Calibri"/>
                <w:b/>
                <w:bCs/>
                <w:sz w:val="20"/>
                <w:szCs w:val="20"/>
              </w:rPr>
              <w:t>Costurile incluse în buget sunt adecvate în raport cu activitățile propuse și rezultatele așteptate</w:t>
            </w:r>
            <w:r w:rsidRPr="00C841BE">
              <w:rPr>
                <w:rFonts w:ascii="Trebuchet MS" w:eastAsia="Calibri" w:hAnsi="Trebuchet MS" w:cs="Trebuchet MS"/>
                <w:color w:val="1F3863"/>
                <w:lang w:val="en-GB"/>
              </w:rPr>
              <w:t xml:space="preserve">. </w:t>
            </w:r>
          </w:p>
          <w:p w14:paraId="33941091"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lang w:val="en-GB"/>
              </w:rPr>
            </w:pPr>
          </w:p>
          <w:p w14:paraId="524C4E43"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Obținerea unui punctaj de 0 puncte ( asumarea unei cofinanțări sub 2 %) conduce la respingerea proiectului.</w:t>
            </w:r>
          </w:p>
          <w:p w14:paraId="5463340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7CD012FC"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Conform anexei privind stabilirea necesarului de finanțare, rata de cofinanțare este între:</w:t>
            </w:r>
          </w:p>
          <w:p w14:paraId="557545F5"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0F099DF3"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a)</w:t>
            </w:r>
            <w:r w:rsidRPr="00C841BE">
              <w:rPr>
                <w:rFonts w:ascii="Aptos Display" w:eastAsia="Calibri" w:hAnsi="Aptos Display" w:cs="Calibri"/>
                <w:sz w:val="20"/>
                <w:szCs w:val="20"/>
              </w:rPr>
              <w:tab/>
              <w:t>2%-5%</w:t>
            </w:r>
          </w:p>
          <w:p w14:paraId="7EFD33D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52BB952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b)</w:t>
            </w:r>
            <w:r w:rsidRPr="00C841BE">
              <w:rPr>
                <w:rFonts w:ascii="Aptos Display" w:eastAsia="Calibri" w:hAnsi="Aptos Display" w:cs="Calibri"/>
                <w:sz w:val="20"/>
                <w:szCs w:val="20"/>
              </w:rPr>
              <w:tab/>
              <w:t>5%-10%</w:t>
            </w:r>
          </w:p>
          <w:p w14:paraId="0155DA5B"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55A678B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color w:val="000000"/>
                <w:sz w:val="24"/>
                <w:szCs w:val="24"/>
                <w:lang w:val="en-GB"/>
              </w:rPr>
            </w:pPr>
            <w:r w:rsidRPr="00C841BE">
              <w:rPr>
                <w:rFonts w:ascii="Aptos Display" w:eastAsia="Calibri" w:hAnsi="Aptos Display" w:cs="Calibri"/>
                <w:sz w:val="20"/>
                <w:szCs w:val="20"/>
              </w:rPr>
              <w:t xml:space="preserve">c) </w:t>
            </w:r>
            <w:r w:rsidRPr="00C841BE">
              <w:rPr>
                <w:rFonts w:ascii="Aptos Display" w:eastAsia="Calibri" w:hAnsi="Aptos Display" w:cs="Calibri"/>
                <w:sz w:val="20"/>
                <w:szCs w:val="20"/>
              </w:rPr>
              <w:tab/>
              <w:t>Peste 15%</w:t>
            </w:r>
          </w:p>
        </w:tc>
        <w:tc>
          <w:tcPr>
            <w:tcW w:w="1438" w:type="dxa"/>
            <w:shd w:val="clear" w:color="auto" w:fill="D9D9D9"/>
          </w:tcPr>
          <w:p w14:paraId="6E723CBA" w14:textId="77777777" w:rsidR="00C841BE" w:rsidRPr="00C841BE" w:rsidRDefault="00C841BE" w:rsidP="00C841BE">
            <w:pP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13 puncte</w:t>
            </w:r>
          </w:p>
          <w:p w14:paraId="2F90A9FA" w14:textId="77777777" w:rsidR="00C841BE" w:rsidRPr="00C841BE" w:rsidRDefault="00C841BE" w:rsidP="00C841BE">
            <w:pPr>
              <w:ind w:left="-14" w:right="396" w:hanging="90"/>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(punctaj nu este cumulativ)</w:t>
            </w:r>
          </w:p>
          <w:p w14:paraId="5BD59FC7"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2D5F8BD5"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5842B7E"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A8554B1" w14:textId="77777777" w:rsidR="00C841BE" w:rsidRPr="00C841BE" w:rsidRDefault="00C841BE" w:rsidP="00C841BE">
            <w:pPr>
              <w:ind w:right="396"/>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80EF4EC"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w:t>
            </w:r>
          </w:p>
          <w:p w14:paraId="20D6EDDC"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06FC884"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7</w:t>
            </w:r>
          </w:p>
          <w:p w14:paraId="0B6C679E"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8CFCF05" w14:textId="77777777" w:rsidR="00C841BE" w:rsidRPr="00C841BE" w:rsidRDefault="00C841BE" w:rsidP="00C841BE">
            <w:pPr>
              <w:ind w:left="-14" w:right="396" w:firstLine="14"/>
              <w:jc w:val="center"/>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13</w:t>
            </w:r>
          </w:p>
        </w:tc>
        <w:tc>
          <w:tcPr>
            <w:tcW w:w="4232" w:type="dxa"/>
            <w:shd w:val="clear" w:color="auto" w:fill="D9D9D9"/>
          </w:tcPr>
          <w:p w14:paraId="3745DC9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Există un raport rezonabil între rezultate și costul alocat acestora prin intermediul activităților </w:t>
            </w:r>
          </w:p>
          <w:p w14:paraId="0E2D5F29"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7DA85F7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Costurile estimate sunt adecvate opțiunilor propuse și specificului activităților, rezultatelor și resurselor existente </w:t>
            </w:r>
          </w:p>
          <w:p w14:paraId="3F64361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027B2D8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Este justificată achiziția, în raport cu activitățile proiectului și cu resursele existente la solicitant și la partener, dacă este cazul; </w:t>
            </w:r>
          </w:p>
          <w:p w14:paraId="4A8E577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51BECF7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Sunt respectate plafoanele / procentele/ nivel de remunerare, pentru categoriile/ tipurile de cheltuieli stabilite in GS</w:t>
            </w:r>
          </w:p>
          <w:p w14:paraId="2029170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6364BCA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color w:val="000000"/>
                <w:sz w:val="20"/>
                <w:szCs w:val="20"/>
                <w:lang w:val="en-GB"/>
              </w:rPr>
            </w:pPr>
          </w:p>
        </w:tc>
      </w:tr>
      <w:tr w:rsidR="00C841BE" w:rsidRPr="00C841BE" w14:paraId="0CD61BF3" w14:textId="77777777" w:rsidTr="00C841BE">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7299B074"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C3</w:t>
            </w:r>
          </w:p>
        </w:tc>
        <w:tc>
          <w:tcPr>
            <w:tcW w:w="7860" w:type="dxa"/>
            <w:shd w:val="clear" w:color="auto" w:fill="D9D9D9"/>
          </w:tcPr>
          <w:p w14:paraId="0D133B6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Resursele umane (număr de persoane, experiența profesională a acestora, implicarea acestora în proiect) sunt adecvate în raport cu activitățile propuse și rezultatele așteptate. </w:t>
            </w:r>
          </w:p>
          <w:p w14:paraId="35DB334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p w14:paraId="354B794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2B79232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p>
        </w:tc>
        <w:tc>
          <w:tcPr>
            <w:tcW w:w="1438" w:type="dxa"/>
            <w:shd w:val="clear" w:color="auto" w:fill="D9D9D9"/>
          </w:tcPr>
          <w:p w14:paraId="6146D1D4"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74ECAE7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36EE267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947244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948CC8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8DC45F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575018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4C867F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74A4DD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289937C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8FCAA40"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color w:val="FF0000"/>
                <w:sz w:val="20"/>
                <w:szCs w:val="20"/>
                <w:u w:val="single"/>
              </w:rPr>
            </w:pPr>
          </w:p>
        </w:tc>
        <w:tc>
          <w:tcPr>
            <w:tcW w:w="4232" w:type="dxa"/>
            <w:shd w:val="clear" w:color="auto" w:fill="D9D9D9"/>
          </w:tcPr>
          <w:p w14:paraId="301C2980"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Pozițiile membrilor echipei de implementare a proiectului sunt justificate, având atribuții individuale, care nu se suprapun, chiar dacă proiectul se implementează în parteneriat sau se apelează la externalizare; </w:t>
            </w:r>
          </w:p>
          <w:p w14:paraId="4370DB95"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sz w:val="24"/>
                <w:szCs w:val="24"/>
                <w:lang w:val="en-GB"/>
              </w:rPr>
            </w:pPr>
          </w:p>
          <w:p w14:paraId="5BA4B2ED"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Experiența profesională a managerului de proiect și a coordonatorului partener este relevantă pentru domeniul și complexitatea proiectului </w:t>
            </w:r>
          </w:p>
          <w:p w14:paraId="58711918"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sz w:val="24"/>
                <w:szCs w:val="24"/>
                <w:lang w:val="en-GB"/>
              </w:rPr>
            </w:pPr>
          </w:p>
          <w:p w14:paraId="05DC963F"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Se asigură descrierea implicării în proiect a tuturor membrilor echipei de implementare în funcție de activitățile planificate și rezultate (activitatea membrilor echipei de proiect este eficientă) </w:t>
            </w:r>
          </w:p>
          <w:p w14:paraId="7A7CB14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1CA9A1B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Sunt prezentate pentru toate posturile din echipa de management și implementare: atribuțiile/educația solicitată/experiența specifică solicitată.</w:t>
            </w:r>
          </w:p>
          <w:p w14:paraId="32AE013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color w:val="000000"/>
                <w:sz w:val="20"/>
                <w:szCs w:val="20"/>
                <w:lang w:val="en-GB"/>
              </w:rPr>
              <w:t xml:space="preserve">Capacitate </w:t>
            </w:r>
            <w:proofErr w:type="spellStart"/>
            <w:r w:rsidRPr="00C841BE">
              <w:rPr>
                <w:rFonts w:ascii="Aptos Display" w:eastAsia="Calibri" w:hAnsi="Aptos Display" w:cs="Calibri"/>
                <w:color w:val="000000"/>
                <w:sz w:val="20"/>
                <w:szCs w:val="20"/>
                <w:lang w:val="en-GB"/>
              </w:rPr>
              <w:t>operațională</w:t>
            </w:r>
            <w:proofErr w:type="spellEnd"/>
            <w:r w:rsidRPr="00C841BE">
              <w:rPr>
                <w:rFonts w:ascii="Aptos Display" w:eastAsia="Calibri" w:hAnsi="Aptos Display" w:cs="Calibri"/>
                <w:color w:val="000000"/>
                <w:sz w:val="20"/>
                <w:szCs w:val="20"/>
                <w:lang w:val="en-GB"/>
              </w:rPr>
              <w:t xml:space="preserve"> </w:t>
            </w:r>
            <w:proofErr w:type="spellStart"/>
            <w:r w:rsidRPr="00C841BE">
              <w:rPr>
                <w:rFonts w:ascii="Aptos Display" w:eastAsia="Calibri" w:hAnsi="Aptos Display" w:cs="Calibri"/>
                <w:color w:val="000000"/>
                <w:sz w:val="20"/>
                <w:szCs w:val="20"/>
                <w:lang w:val="en-GB"/>
              </w:rPr>
              <w:t>și</w:t>
            </w:r>
            <w:proofErr w:type="spellEnd"/>
            <w:r w:rsidRPr="00C841BE">
              <w:rPr>
                <w:rFonts w:ascii="Aptos Display" w:eastAsia="Calibri" w:hAnsi="Aptos Display" w:cs="Calibri"/>
                <w:color w:val="000000"/>
                <w:sz w:val="20"/>
                <w:szCs w:val="20"/>
                <w:lang w:val="en-GB"/>
              </w:rPr>
              <w:t xml:space="preserve"> </w:t>
            </w:r>
            <w:proofErr w:type="spellStart"/>
            <w:r w:rsidRPr="00C841BE">
              <w:rPr>
                <w:rFonts w:ascii="Aptos Display" w:eastAsia="Calibri" w:hAnsi="Aptos Display" w:cs="Calibri"/>
                <w:color w:val="000000"/>
                <w:sz w:val="20"/>
                <w:szCs w:val="20"/>
                <w:lang w:val="en-GB"/>
              </w:rPr>
              <w:t>logistică</w:t>
            </w:r>
            <w:proofErr w:type="spellEnd"/>
            <w:r w:rsidRPr="00C841BE">
              <w:rPr>
                <w:rFonts w:ascii="Aptos Display" w:eastAsia="Calibri" w:hAnsi="Aptos Display" w:cs="Calibri"/>
                <w:color w:val="000000"/>
                <w:sz w:val="20"/>
                <w:szCs w:val="20"/>
                <w:lang w:val="en-GB"/>
              </w:rPr>
              <w:t xml:space="preserve"> </w:t>
            </w:r>
            <w:proofErr w:type="spellStart"/>
            <w:r w:rsidRPr="00C841BE">
              <w:rPr>
                <w:rFonts w:ascii="Aptos Display" w:eastAsia="Calibri" w:hAnsi="Aptos Display" w:cs="Calibri"/>
                <w:color w:val="000000"/>
                <w:sz w:val="20"/>
                <w:szCs w:val="20"/>
                <w:lang w:val="en-GB"/>
              </w:rPr>
              <w:t>adecvată</w:t>
            </w:r>
            <w:proofErr w:type="spellEnd"/>
            <w:r w:rsidRPr="00C841BE">
              <w:rPr>
                <w:rFonts w:ascii="Aptos Display" w:eastAsia="Calibri" w:hAnsi="Aptos Display" w:cs="Calibri"/>
                <w:color w:val="000000"/>
                <w:sz w:val="20"/>
                <w:szCs w:val="20"/>
                <w:lang w:val="en-GB"/>
              </w:rPr>
              <w:t xml:space="preserve"> - </w:t>
            </w:r>
            <w:r w:rsidRPr="00C841BE">
              <w:rPr>
                <w:rFonts w:ascii="Aptos Display" w:eastAsia="Calibri" w:hAnsi="Aptos Display" w:cs="Calibri"/>
                <w:bCs/>
                <w:i/>
                <w:iCs/>
                <w:sz w:val="20"/>
                <w:szCs w:val="20"/>
              </w:rPr>
              <w:t>personal calificat pentru activitățile propuse;</w:t>
            </w:r>
          </w:p>
          <w:p w14:paraId="587147A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bCs/>
                <w:i/>
                <w:iCs/>
                <w:sz w:val="20"/>
                <w:szCs w:val="20"/>
              </w:rPr>
              <w:t>formatori, consilieri, evaluatori, cu CV-uri și dovezi de calificare</w:t>
            </w:r>
          </w:p>
        </w:tc>
      </w:tr>
      <w:tr w:rsidR="00C841BE" w:rsidRPr="00C841BE" w14:paraId="4460C143" w14:textId="77777777" w:rsidTr="00C841BE">
        <w:trPr>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0CFAE3B1"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C4</w:t>
            </w:r>
          </w:p>
        </w:tc>
        <w:tc>
          <w:tcPr>
            <w:tcW w:w="7860" w:type="dxa"/>
            <w:shd w:val="clear" w:color="auto" w:fill="D9D9D9"/>
          </w:tcPr>
          <w:p w14:paraId="0FFDA97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Resursele materiale sunt adecvate ca natură, structură și dimensiune în raport cu activitățile propuse și rezultatele așteptate. </w:t>
            </w:r>
          </w:p>
          <w:p w14:paraId="1159E0A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p>
          <w:p w14:paraId="400BBAD6"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Solicitantul prezintă resursele materiale puse la dispoziția proiectului în secțiunea “Capacitate solicitant” din cererea de finanțare (de ex. Spatiu, dotări, echipamente, laptop, desktop, birou)</w:t>
            </w:r>
          </w:p>
        </w:tc>
        <w:tc>
          <w:tcPr>
            <w:tcW w:w="1438" w:type="dxa"/>
            <w:shd w:val="clear" w:color="auto" w:fill="D9D9D9"/>
          </w:tcPr>
          <w:p w14:paraId="1D0B739E"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4 punct</w:t>
            </w:r>
          </w:p>
        </w:tc>
        <w:tc>
          <w:tcPr>
            <w:tcW w:w="4232" w:type="dxa"/>
            <w:shd w:val="clear" w:color="auto" w:fill="D9D9D9"/>
          </w:tcPr>
          <w:p w14:paraId="5B5F400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prezintă resursele materiale puse la dispoziția proiectului în secțiunea “Capacitate solicitant” (de ex. Spatiu adecvat, accesibilitate, dotări, echipamente, laptop, desktop, birou) </w:t>
            </w:r>
          </w:p>
          <w:p w14:paraId="7027246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Capacitate operațională și logistică adecvată - </w:t>
            </w:r>
          </w:p>
          <w:p w14:paraId="28AC6C8B"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trebuie să dispună de spații adecvate pentru desfășurarea activităților (săli de curs, laboratoare, echipamente)</w:t>
            </w:r>
          </w:p>
          <w:p w14:paraId="79CCE456"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0D30B6CF" w14:textId="77777777" w:rsidTr="00C841BE">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4EE2F14B"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C5</w:t>
            </w:r>
          </w:p>
        </w:tc>
        <w:tc>
          <w:tcPr>
            <w:tcW w:w="7860" w:type="dxa"/>
            <w:shd w:val="clear" w:color="auto" w:fill="D9D9D9"/>
          </w:tcPr>
          <w:p w14:paraId="734FAECC"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și partenerii (acolo unde proiectul se implementează în parteneriat) au experiență în cel puțin unul din domeniile de activitate, aferente activităților relevante. </w:t>
            </w:r>
          </w:p>
          <w:p w14:paraId="52F1BF2B"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en-GB"/>
              </w:rPr>
            </w:pPr>
            <w:r w:rsidRPr="00C841BE">
              <w:rPr>
                <w:rFonts w:ascii="Trebuchet MS" w:eastAsia="Calibri" w:hAnsi="Trebuchet MS" w:cs="Trebuchet MS"/>
                <w:color w:val="1F3863"/>
                <w:lang w:val="en-GB"/>
              </w:rPr>
              <w:t xml:space="preserve"> </w:t>
            </w:r>
          </w:p>
          <w:p w14:paraId="1F3FC697"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Obținerea unui punctaj de 0 puncte ( experineță sub 6 luni) conduce la respingerea proiectului.</w:t>
            </w:r>
          </w:p>
          <w:p w14:paraId="6CB24CE5"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en-GB"/>
              </w:rPr>
            </w:pPr>
          </w:p>
          <w:p w14:paraId="0F3CD65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Solicitantul demonstrează experiență în domeniul în care solicită finanțarea, după urmează:</w:t>
            </w:r>
          </w:p>
          <w:p w14:paraId="2BF6B54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3294FBB9"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lastRenderedPageBreak/>
              <w:t>-</w:t>
            </w:r>
            <w:r w:rsidRPr="00C841BE">
              <w:rPr>
                <w:rFonts w:ascii="Aptos Display" w:eastAsia="Calibri" w:hAnsi="Aptos Display" w:cs="Calibri"/>
                <w:sz w:val="20"/>
                <w:szCs w:val="20"/>
              </w:rPr>
              <w:tab/>
              <w:t xml:space="preserve"> 6 – 12 luni </w:t>
            </w:r>
          </w:p>
          <w:p w14:paraId="1889B20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757EF3B4"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 xml:space="preserve">12 - 24 luni </w:t>
            </w:r>
          </w:p>
          <w:p w14:paraId="22583FB2"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p>
          <w:p w14:paraId="2E905A85"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w:t>
            </w:r>
            <w:r w:rsidRPr="00C841BE">
              <w:rPr>
                <w:rFonts w:ascii="Aptos Display" w:eastAsia="Calibri" w:hAnsi="Aptos Display" w:cs="Calibri"/>
                <w:sz w:val="20"/>
                <w:szCs w:val="20"/>
              </w:rPr>
              <w:tab/>
              <w:t xml:space="preserve">Peste 24 luni </w:t>
            </w:r>
          </w:p>
          <w:p w14:paraId="72ED6566" w14:textId="77777777" w:rsidR="00C841BE" w:rsidRPr="00C841BE" w:rsidRDefault="00C841BE" w:rsidP="00C841B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en-GB"/>
              </w:rPr>
            </w:pPr>
          </w:p>
          <w:p w14:paraId="1857E607" w14:textId="77777777" w:rsidR="00C841BE" w:rsidRPr="00C841BE" w:rsidRDefault="00C841BE" w:rsidP="00C841BE">
            <w:pPr>
              <w:cnfStyle w:val="000000100000" w:firstRow="0" w:lastRow="0" w:firstColumn="0" w:lastColumn="0" w:oddVBand="0" w:evenVBand="0" w:oddHBand="1" w:evenHBand="0" w:firstRowFirstColumn="0" w:firstRowLastColumn="0" w:lastRowFirstColumn="0" w:lastRowLastColumn="0"/>
              <w:rPr>
                <w:rFonts w:ascii="Calibri" w:eastAsia="Calibri" w:hAnsi="Calibri" w:cs="Arial"/>
              </w:rPr>
            </w:pPr>
          </w:p>
        </w:tc>
        <w:tc>
          <w:tcPr>
            <w:tcW w:w="1438" w:type="dxa"/>
            <w:shd w:val="clear" w:color="auto" w:fill="D9D9D9"/>
          </w:tcPr>
          <w:p w14:paraId="7F206AA3"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lastRenderedPageBreak/>
              <w:t>5 puncte</w:t>
            </w:r>
          </w:p>
          <w:p w14:paraId="19A7F617"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(punctajul nu este cumulativ)</w:t>
            </w:r>
          </w:p>
          <w:p w14:paraId="5B98820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04C1572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w:t>
            </w:r>
          </w:p>
          <w:p w14:paraId="083962B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C8DB1E5"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p w14:paraId="02EE71BE"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108E277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w:t>
            </w:r>
          </w:p>
          <w:p w14:paraId="388BF45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p w14:paraId="6C2999B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12FB5289"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000000"/>
                <w:lang w:val="en-GB"/>
              </w:rPr>
            </w:pPr>
            <w:r w:rsidRPr="00C841BE">
              <w:rPr>
                <w:rFonts w:ascii="Aptos Display" w:eastAsia="Calibri" w:hAnsi="Aptos Display" w:cs="Calibri"/>
                <w:bCs/>
                <w:i/>
                <w:iCs/>
                <w:sz w:val="20"/>
                <w:szCs w:val="20"/>
              </w:rPr>
              <w:lastRenderedPageBreak/>
              <w:t>Solicitantul are experiență de minimum 12 luni în cel puțin unul din domeniile de activitate, aferente activităților obligatorii/relevante pe care acesta le implementează în cadrul proiectului</w:t>
            </w:r>
            <w:r w:rsidRPr="00C841BE">
              <w:rPr>
                <w:rFonts w:ascii="Trebuchet MS" w:eastAsia="Calibri" w:hAnsi="Trebuchet MS" w:cs="Trebuchet MS"/>
                <w:color w:val="1F3863"/>
                <w:lang w:val="en-GB"/>
              </w:rPr>
              <w:t xml:space="preserve">. </w:t>
            </w:r>
          </w:p>
          <w:p w14:paraId="4E99FCDA"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sz w:val="24"/>
                <w:szCs w:val="24"/>
                <w:lang w:val="en-GB"/>
              </w:rPr>
            </w:pPr>
          </w:p>
          <w:p w14:paraId="0486220C"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1F3863"/>
                <w:lang w:val="en-GB"/>
              </w:rPr>
            </w:pPr>
            <w:r w:rsidRPr="00C841BE">
              <w:rPr>
                <w:rFonts w:ascii="Aptos Display" w:eastAsia="Calibri" w:hAnsi="Aptos Display" w:cs="Calibri"/>
                <w:bCs/>
                <w:i/>
                <w:iCs/>
                <w:sz w:val="20"/>
                <w:szCs w:val="20"/>
              </w:rPr>
              <w:t xml:space="preserve">Fiecare partener are experiență de minimum 6 luni în cel puțin unul din domeniile de activitate, </w:t>
            </w:r>
            <w:r w:rsidRPr="00C841BE">
              <w:rPr>
                <w:rFonts w:ascii="Aptos Display" w:eastAsia="Calibri" w:hAnsi="Aptos Display" w:cs="Calibri"/>
                <w:bCs/>
                <w:i/>
                <w:iCs/>
                <w:sz w:val="20"/>
                <w:szCs w:val="20"/>
              </w:rPr>
              <w:lastRenderedPageBreak/>
              <w:t>aferente activităților relevante pe care acesta le implementează în cadrul proiectului</w:t>
            </w:r>
            <w:r w:rsidRPr="00C841BE">
              <w:rPr>
                <w:rFonts w:ascii="Trebuchet MS" w:eastAsia="Calibri" w:hAnsi="Trebuchet MS" w:cs="Trebuchet MS"/>
                <w:color w:val="1F3863"/>
                <w:lang w:val="en-GB"/>
              </w:rPr>
              <w:t xml:space="preserve">. </w:t>
            </w:r>
          </w:p>
          <w:p w14:paraId="28D4DA96"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Trebuchet MS" w:eastAsia="Calibri" w:hAnsi="Trebuchet MS" w:cs="Trebuchet MS"/>
                <w:color w:val="000000"/>
                <w:lang w:val="en-GB"/>
              </w:rPr>
              <w:t>-</w:t>
            </w:r>
            <w:r w:rsidRPr="00C841BE">
              <w:rPr>
                <w:rFonts w:ascii="Aptos Display" w:eastAsia="Calibri" w:hAnsi="Aptos Display" w:cs="Calibri"/>
                <w:bCs/>
                <w:i/>
                <w:iCs/>
                <w:sz w:val="20"/>
                <w:szCs w:val="20"/>
              </w:rPr>
              <w:tab/>
              <w:t xml:space="preserve">experiență demonstrată în domeniul vizat; </w:t>
            </w:r>
          </w:p>
          <w:p w14:paraId="08D27720"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rebuchet MS"/>
                <w:color w:val="000000"/>
                <w:lang w:val="en-GB"/>
              </w:rPr>
            </w:pPr>
            <w:r w:rsidRPr="00C841BE">
              <w:rPr>
                <w:rFonts w:ascii="Aptos Display" w:eastAsia="Calibri" w:hAnsi="Aptos Display" w:cs="Calibri"/>
                <w:bCs/>
                <w:i/>
                <w:iCs/>
                <w:sz w:val="20"/>
                <w:szCs w:val="20"/>
              </w:rPr>
              <w:t>trebuie să fi derulat anterior proiecte similare (formare profesională, consiliere, evaluare competențe etc.), dovedite prin portofoliu, rapoarte sau recomandări</w:t>
            </w:r>
          </w:p>
        </w:tc>
      </w:tr>
      <w:tr w:rsidR="00C841BE" w:rsidRPr="00C841BE" w14:paraId="41696EDB" w14:textId="77777777" w:rsidTr="00C841BE">
        <w:trPr>
          <w:trHeight w:val="306"/>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20E1CECF"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lastRenderedPageBreak/>
              <w:t>C6</w:t>
            </w:r>
          </w:p>
        </w:tc>
        <w:tc>
          <w:tcPr>
            <w:tcW w:w="7860" w:type="dxa"/>
            <w:shd w:val="clear" w:color="auto" w:fill="D9D9D9"/>
          </w:tcPr>
          <w:p w14:paraId="11C7AA1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Solicitantul și partenerii (acolo unde proiectul se implementează în parteneriat) și-au îndeplinit indicatorii în operațiuni anterioare. </w:t>
            </w:r>
          </w:p>
          <w:p w14:paraId="33D5653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color w:val="1F3863"/>
                <w:lang w:val="en-GB"/>
              </w:rPr>
            </w:pPr>
            <w:r w:rsidRPr="00C841BE">
              <w:rPr>
                <w:rFonts w:ascii="Aptos Display" w:eastAsia="Calibri" w:hAnsi="Aptos Display" w:cs="Calibri"/>
                <w:b/>
                <w:bCs/>
                <w:sz w:val="20"/>
                <w:szCs w:val="20"/>
              </w:rPr>
              <w:t>N.B: Pentru evaluarea rezultatelor anterioare vor fi prezentate proiecte similare care implică realizarea de activități de formare/certificare competente /consiliere profesională/mediere pe bază de contract de finanțare/contracte economice, iar pentru acordarea punctajului se vor avea în vedere rezultatele concrete atinse în respectivele proiecte pe baza documentelor transmise de solicitant/partener.</w:t>
            </w:r>
            <w:r w:rsidRPr="00C841BE">
              <w:rPr>
                <w:rFonts w:ascii="Trebuchet MS" w:eastAsia="Calibri" w:hAnsi="Trebuchet MS" w:cs="Trebuchet MS"/>
                <w:color w:val="1F3863"/>
                <w:lang w:val="en-GB"/>
              </w:rPr>
              <w:t xml:space="preserve"> </w:t>
            </w:r>
          </w:p>
          <w:p w14:paraId="1C97AFB1"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color w:val="1F3863"/>
                <w:lang w:val="en-GB"/>
              </w:rPr>
            </w:pPr>
          </w:p>
          <w:p w14:paraId="023BD73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rebuchet MS"/>
                <w:lang w:val="en-GB"/>
              </w:rPr>
            </w:pPr>
          </w:p>
          <w:p w14:paraId="4CBB4DF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Solicitantul și partenerul/partenerii, după caz, demonstrează că în cel puțin unul din domeniile de activitate, aferente activităților relevante pe care aceștia le implementează în cadrul proiectului, au implementat operațiuni cu rata de realizare a indicatorilor de:</w:t>
            </w:r>
          </w:p>
          <w:p w14:paraId="48ABBEE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7FC856AC"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p>
          <w:p w14:paraId="43B1F6C0"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- 70% - 80% din ținta/țintele propuse</w:t>
            </w:r>
          </w:p>
          <w:p w14:paraId="1D53FDB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sz w:val="20"/>
                <w:szCs w:val="20"/>
              </w:rPr>
            </w:pPr>
            <w:r w:rsidRPr="00C841BE">
              <w:rPr>
                <w:rFonts w:ascii="Aptos Display" w:eastAsia="Calibri" w:hAnsi="Aptos Display" w:cs="Calibri"/>
                <w:sz w:val="20"/>
                <w:szCs w:val="20"/>
              </w:rPr>
              <w:t>- 80% - 90 % din ținta/țintele propuse.</w:t>
            </w:r>
          </w:p>
          <w:p w14:paraId="3A3A1B45"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sz w:val="20"/>
                <w:szCs w:val="20"/>
              </w:rPr>
              <w:t>- mai mare de 90% din ținta/țintele propuse.</w:t>
            </w:r>
          </w:p>
        </w:tc>
        <w:tc>
          <w:tcPr>
            <w:tcW w:w="1438" w:type="dxa"/>
            <w:shd w:val="clear" w:color="auto" w:fill="D9D9D9"/>
          </w:tcPr>
          <w:p w14:paraId="6234F73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 puncte (punctajul nu este cumulativ)</w:t>
            </w:r>
          </w:p>
          <w:p w14:paraId="24FCC7F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108FC6B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6C7239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0ADFC4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3DB4EDB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611053DB"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A6DD23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227A4FC"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5F1392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422B674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1</w:t>
            </w:r>
          </w:p>
          <w:p w14:paraId="16254F2F"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w:t>
            </w:r>
          </w:p>
          <w:p w14:paraId="305B696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5</w:t>
            </w:r>
          </w:p>
        </w:tc>
        <w:tc>
          <w:tcPr>
            <w:tcW w:w="4232" w:type="dxa"/>
            <w:shd w:val="clear" w:color="auto" w:fill="D9D9D9"/>
          </w:tcPr>
          <w:p w14:paraId="3DE6ADF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de maximum 70% din ținta/țintele propuse. </w:t>
            </w:r>
          </w:p>
          <w:p w14:paraId="55ADB77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0465754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70% din ținta/țintele propuse. </w:t>
            </w:r>
          </w:p>
          <w:p w14:paraId="43500A9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sz w:val="24"/>
                <w:szCs w:val="24"/>
                <w:lang w:val="en-GB"/>
              </w:rPr>
            </w:pPr>
          </w:p>
          <w:p w14:paraId="70B323BC"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 </w:t>
            </w:r>
          </w:p>
          <w:p w14:paraId="236EDE2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6F4E605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Solicitantul și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 </w:t>
            </w:r>
          </w:p>
          <w:p w14:paraId="2CD34E23"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407DAD1A" w14:textId="77777777" w:rsidTr="00C841BE">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vAlign w:val="center"/>
          </w:tcPr>
          <w:p w14:paraId="04CE8EBF"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rPr>
              <w:lastRenderedPageBreak/>
              <w:t>D</w:t>
            </w:r>
          </w:p>
        </w:tc>
        <w:tc>
          <w:tcPr>
            <w:tcW w:w="7860" w:type="dxa"/>
            <w:shd w:val="clear" w:color="auto" w:fill="D9D9D9"/>
            <w:vAlign w:val="center"/>
          </w:tcPr>
          <w:p w14:paraId="0346D7E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SUSTENABILITATE - Măsura în care proiectul asigură continuarea efectelor sale și valorificarea rezultatelor obținute după încetarea sursei de finanțare. </w:t>
            </w:r>
          </w:p>
        </w:tc>
        <w:tc>
          <w:tcPr>
            <w:tcW w:w="1438" w:type="dxa"/>
            <w:shd w:val="clear" w:color="auto" w:fill="D9D9D9"/>
            <w:vAlign w:val="center"/>
          </w:tcPr>
          <w:p w14:paraId="4FD6952F"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r w:rsidRPr="00C841BE">
              <w:rPr>
                <w:rFonts w:ascii="Aptos Display" w:eastAsia="Calibri" w:hAnsi="Aptos Display" w:cs="Calibri"/>
                <w:b/>
                <w:bCs/>
                <w:sz w:val="20"/>
                <w:szCs w:val="20"/>
                <w:u w:val="single"/>
              </w:rPr>
              <w:t>5 puncte</w:t>
            </w:r>
          </w:p>
          <w:p w14:paraId="7626101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2D44B91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r>
      <w:tr w:rsidR="00C841BE" w:rsidRPr="00C841BE" w14:paraId="1C2C627E" w14:textId="77777777" w:rsidTr="00C841BE">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3066A10D"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u w:val="single"/>
              </w:rPr>
              <w:t>D1</w:t>
            </w:r>
          </w:p>
        </w:tc>
        <w:tc>
          <w:tcPr>
            <w:tcW w:w="7860" w:type="dxa"/>
            <w:shd w:val="clear" w:color="auto" w:fill="D9D9D9"/>
          </w:tcPr>
          <w:p w14:paraId="6C3D4B0F"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Proiectul include activități, în timpul implementării, care conduc la valorificarea rezultatelor proiectului după finalizarea acestuia. </w:t>
            </w:r>
          </w:p>
          <w:p w14:paraId="0675686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p>
          <w:p w14:paraId="6132E4E6"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p>
          <w:p w14:paraId="78842F35"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i/>
                <w:iCs/>
                <w:sz w:val="20"/>
                <w:szCs w:val="20"/>
              </w:rPr>
            </w:pPr>
            <w:r w:rsidRPr="00C841BE">
              <w:rPr>
                <w:rFonts w:ascii="Aptos Display" w:eastAsia="Calibri" w:hAnsi="Aptos Display" w:cs="Calibri"/>
                <w:i/>
                <w:iCs/>
                <w:sz w:val="20"/>
                <w:szCs w:val="20"/>
              </w:rPr>
              <w:t>Planul de implementare al proiectului include măsuri concrete de finanțare care asigură continuarea activitatilor dupa finalizarea acestuia.</w:t>
            </w:r>
          </w:p>
        </w:tc>
        <w:tc>
          <w:tcPr>
            <w:tcW w:w="1438" w:type="dxa"/>
            <w:shd w:val="clear" w:color="auto" w:fill="D9D9D9"/>
          </w:tcPr>
          <w:p w14:paraId="0213F46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r w:rsidRPr="00C841BE">
              <w:rPr>
                <w:rFonts w:ascii="Aptos Display" w:eastAsia="Calibri" w:hAnsi="Aptos Display" w:cs="Calibri"/>
                <w:b/>
                <w:sz w:val="20"/>
                <w:szCs w:val="20"/>
                <w:u w:val="single"/>
              </w:rPr>
              <w:t>3 puncte</w:t>
            </w:r>
          </w:p>
          <w:p w14:paraId="5294A9ED"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2C47C902"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8F72F63"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1DE1C4C1"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7945E72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09C157C7"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59511EF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p w14:paraId="181DFA58"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5119CB2C"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Proiectul are prevăzute, din timpul implementării, acțiuni/activități transferabile care conduc la sustenabilitatea acestuia precum: crearea de parteneriate, implicare în proiect a altor actori interesați, valorificarea rezultatelor printr-un alt proiect/alte activități, demararea unor activități care să continue proiectul prezent etc.); </w:t>
            </w:r>
          </w:p>
          <w:p w14:paraId="65944294"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Diseminarea rezultatelor către alte entități (de exemplu: metodologii, materiale de instruire, curriculum etc.); </w:t>
            </w:r>
          </w:p>
          <w:p w14:paraId="03CB21AE"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Utilizarea rezultatelor proiectului în activități/proiecte ulterioare </w:t>
            </w:r>
          </w:p>
          <w:p w14:paraId="22D7B1A2"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47C647C7"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 xml:space="preserve">Proiectul și/sau rezultatele obținute în urma implementării acestuia sunt multiplicate la diferite niveluri (local, regional, sectorial). </w:t>
            </w:r>
          </w:p>
          <w:p w14:paraId="1CBC726A"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p w14:paraId="047E0D2D" w14:textId="77777777" w:rsidR="00C841BE" w:rsidRPr="00C841BE" w:rsidRDefault="00C841BE" w:rsidP="00C841B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Planul de implementare al proiectului include măsuri concrete de finanțare care asigură continuarea activitatilor dupa finalizarea acestuia</w:t>
            </w:r>
          </w:p>
          <w:p w14:paraId="72CC2174" w14:textId="77777777" w:rsidR="00C841BE" w:rsidRPr="00C841BE" w:rsidRDefault="00C841BE" w:rsidP="00C841BE">
            <w:pPr>
              <w:jc w:val="both"/>
              <w:cnfStyle w:val="000000000000" w:firstRow="0" w:lastRow="0" w:firstColumn="0" w:lastColumn="0" w:oddVBand="0" w:evenVBand="0" w:oddHBand="0" w:evenHBand="0" w:firstRowFirstColumn="0" w:firstRowLastColumn="0" w:lastRowFirstColumn="0" w:lastRowLastColumn="0"/>
              <w:rPr>
                <w:rFonts w:ascii="Aptos Display" w:eastAsia="Calibri" w:hAnsi="Aptos Display" w:cs="Calibri"/>
                <w:bCs/>
                <w:i/>
                <w:iCs/>
                <w:sz w:val="20"/>
                <w:szCs w:val="20"/>
              </w:rPr>
            </w:pPr>
          </w:p>
        </w:tc>
      </w:tr>
      <w:tr w:rsidR="00C841BE" w:rsidRPr="00C841BE" w14:paraId="44A0AF02" w14:textId="77777777" w:rsidTr="00C84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 w:type="dxa"/>
            <w:shd w:val="clear" w:color="auto" w:fill="D9D9D9"/>
          </w:tcPr>
          <w:p w14:paraId="6DCB3F48" w14:textId="77777777" w:rsidR="00C841BE" w:rsidRPr="00C841BE" w:rsidRDefault="00C841BE" w:rsidP="00C841BE">
            <w:pPr>
              <w:jc w:val="both"/>
              <w:rPr>
                <w:rFonts w:ascii="Aptos Display" w:eastAsia="Calibri" w:hAnsi="Aptos Display" w:cs="Calibri"/>
                <w:sz w:val="20"/>
                <w:szCs w:val="20"/>
                <w:u w:val="single"/>
              </w:rPr>
            </w:pPr>
            <w:r w:rsidRPr="00C841BE">
              <w:rPr>
                <w:rFonts w:ascii="Aptos Display" w:eastAsia="Calibri" w:hAnsi="Aptos Display" w:cs="Calibri"/>
                <w:sz w:val="20"/>
                <w:szCs w:val="20"/>
              </w:rPr>
              <w:t>D2</w:t>
            </w:r>
          </w:p>
        </w:tc>
        <w:tc>
          <w:tcPr>
            <w:tcW w:w="7860" w:type="dxa"/>
            <w:shd w:val="clear" w:color="auto" w:fill="D9D9D9"/>
          </w:tcPr>
          <w:p w14:paraId="2947A03F"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rPr>
            </w:pPr>
            <w:r w:rsidRPr="00C841BE">
              <w:rPr>
                <w:rFonts w:ascii="Aptos Display" w:eastAsia="Calibri" w:hAnsi="Aptos Display" w:cs="Calibri"/>
                <w:b/>
                <w:bCs/>
                <w:sz w:val="20"/>
                <w:szCs w:val="20"/>
              </w:rPr>
              <w:t xml:space="preserve">Proiectul include activități, în timpul implementării, care duc la asigurarea finanțării și după finalizarea acestuia. </w:t>
            </w:r>
          </w:p>
          <w:p w14:paraId="3BDB6ABA"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tc>
        <w:tc>
          <w:tcPr>
            <w:tcW w:w="1438" w:type="dxa"/>
            <w:shd w:val="clear" w:color="auto" w:fill="D9D9D9"/>
            <w:vAlign w:val="center"/>
          </w:tcPr>
          <w:p w14:paraId="6B9A333D"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r w:rsidRPr="00C841BE">
              <w:rPr>
                <w:rFonts w:ascii="Aptos Display" w:eastAsia="Calibri" w:hAnsi="Aptos Display" w:cs="Calibri"/>
                <w:b/>
                <w:bCs/>
                <w:sz w:val="20"/>
                <w:szCs w:val="20"/>
                <w:u w:val="single"/>
              </w:rPr>
              <w:t>2 punct</w:t>
            </w:r>
          </w:p>
          <w:p w14:paraId="15ACAAEA" w14:textId="77777777" w:rsidR="00C841BE" w:rsidRPr="00C841BE" w:rsidRDefault="00C841BE" w:rsidP="00C841BE">
            <w:pPr>
              <w:ind w:hanging="234"/>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1C25A14F" w14:textId="77777777" w:rsidR="00C841BE" w:rsidRPr="00C841BE" w:rsidRDefault="00C841BE" w:rsidP="00C841BE">
            <w:pPr>
              <w:ind w:hanging="234"/>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6AAA266B"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1C90C518"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78E5E49C"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26802C09"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1E261662"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36358186"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bCs/>
                <w:sz w:val="20"/>
                <w:szCs w:val="20"/>
                <w:u w:val="single"/>
              </w:rPr>
            </w:pPr>
          </w:p>
          <w:p w14:paraId="3DB6B5F1" w14:textId="77777777" w:rsidR="00C841BE" w:rsidRPr="00C841BE" w:rsidRDefault="00C841BE" w:rsidP="00C841BE">
            <w:pPr>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
                <w:sz w:val="20"/>
                <w:szCs w:val="20"/>
                <w:u w:val="single"/>
              </w:rPr>
            </w:pPr>
          </w:p>
        </w:tc>
        <w:tc>
          <w:tcPr>
            <w:tcW w:w="4232" w:type="dxa"/>
            <w:shd w:val="clear" w:color="auto" w:fill="D9D9D9"/>
          </w:tcPr>
          <w:p w14:paraId="256EA43C"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lastRenderedPageBreak/>
              <w:t xml:space="preserve">În Cererea de finantare în secțiunea “Caracterul durabil al proiectului” sunt prezentate concret măsuri ulterioare pentru asigurarea sustenabilității </w:t>
            </w:r>
            <w:r w:rsidRPr="00C841BE">
              <w:rPr>
                <w:rFonts w:ascii="Aptos Display" w:eastAsia="Calibri" w:hAnsi="Aptos Display" w:cs="Calibri"/>
                <w:bCs/>
                <w:i/>
                <w:iCs/>
                <w:sz w:val="20"/>
                <w:szCs w:val="20"/>
              </w:rPr>
              <w:lastRenderedPageBreak/>
              <w:t xml:space="preserve">proiectului (angajarea personalului format și beneficii concrete ale acestora) si previziunile privind cuantumul acestora </w:t>
            </w:r>
          </w:p>
          <w:p w14:paraId="209F68CA"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p>
          <w:p w14:paraId="1E83E2CE" w14:textId="77777777" w:rsidR="00C841BE" w:rsidRPr="00C841BE" w:rsidRDefault="00C841BE" w:rsidP="00C841B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ptos Display" w:eastAsia="Calibri" w:hAnsi="Aptos Display" w:cs="Calibri"/>
                <w:bCs/>
                <w:i/>
                <w:iCs/>
                <w:sz w:val="20"/>
                <w:szCs w:val="20"/>
              </w:rPr>
            </w:pPr>
            <w:r w:rsidRPr="00C841BE">
              <w:rPr>
                <w:rFonts w:ascii="Aptos Display" w:eastAsia="Calibri" w:hAnsi="Aptos Display" w:cs="Calibri"/>
                <w:bCs/>
                <w:i/>
                <w:iCs/>
                <w:sz w:val="20"/>
                <w:szCs w:val="20"/>
              </w:rPr>
              <w:t>Proiectul aduce elemente inovatoare (ex. digitalizare, metode alternative de formare/evaluare), promovează incluziunea socială, egalitatea de șanse sau dezvoltarea de parteneriate relevante.</w:t>
            </w:r>
          </w:p>
        </w:tc>
      </w:tr>
    </w:tbl>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71989D3E" w14:textId="77777777" w:rsidR="00C841BE" w:rsidRDefault="00C841BE" w:rsidP="008850A4">
      <w:pPr>
        <w:jc w:val="both"/>
        <w:rPr>
          <w:rFonts w:ascii="Aptos Display" w:eastAsia="Calibri" w:hAnsi="Aptos Display" w:cs="Calibri"/>
          <w:b/>
          <w:kern w:val="0"/>
          <w:lang w:val="ro-RO"/>
          <w14:ligatures w14:val="none"/>
        </w:rPr>
      </w:pPr>
    </w:p>
    <w:p w14:paraId="3E593694" w14:textId="77777777" w:rsidR="00C841BE" w:rsidRDefault="00C841BE" w:rsidP="008850A4">
      <w:pPr>
        <w:jc w:val="both"/>
        <w:rPr>
          <w:rFonts w:ascii="Aptos Display" w:eastAsia="Calibri" w:hAnsi="Aptos Display" w:cs="Calibri"/>
          <w:b/>
          <w:kern w:val="0"/>
          <w:lang w:val="ro-RO"/>
          <w14:ligatures w14:val="none"/>
        </w:rPr>
      </w:pPr>
    </w:p>
    <w:p w14:paraId="130BED50" w14:textId="06D54232" w:rsidR="008850A4" w:rsidRPr="008850A4" w:rsidRDefault="008850A4" w:rsidP="008850A4">
      <w:pPr>
        <w:jc w:val="both"/>
        <w:rPr>
          <w:rFonts w:ascii="Aptos Display" w:eastAsia="Calibri" w:hAnsi="Aptos Display" w:cs="Calibri"/>
          <w:b/>
          <w:kern w:val="0"/>
          <w:lang w:val="ro-RO"/>
          <w14:ligatures w14:val="none"/>
        </w:rPr>
      </w:pPr>
      <w:r w:rsidRPr="008850A4">
        <w:rPr>
          <w:rFonts w:ascii="Aptos Display" w:eastAsia="Calibri" w:hAnsi="Aptos Display" w:cs="Calibri"/>
          <w:b/>
          <w:kern w:val="0"/>
          <w:lang w:val="ro-RO"/>
          <w14:ligatures w14:val="none"/>
        </w:rPr>
        <w:t xml:space="preserve">Pragul minim de calitate este 70 puncte. </w:t>
      </w:r>
      <w:bookmarkStart w:id="2" w:name="_Toc145944947"/>
      <w:bookmarkStart w:id="3" w:name="_Toc152061619"/>
    </w:p>
    <w:p w14:paraId="4B9BD7A0" w14:textId="77777777" w:rsidR="008850A4" w:rsidRPr="008850A4" w:rsidRDefault="008850A4" w:rsidP="008850A4">
      <w:pPr>
        <w:jc w:val="both"/>
        <w:rPr>
          <w:rFonts w:ascii="Aptos Display" w:eastAsia="Calibri" w:hAnsi="Aptos Display" w:cs="Calibri"/>
          <w:kern w:val="0"/>
          <w:lang w:val="ro-RO"/>
          <w14:ligatures w14:val="none"/>
        </w:rPr>
      </w:pPr>
      <w:r w:rsidRPr="008850A4">
        <w:rPr>
          <w:rFonts w:ascii="Aptos Display" w:eastAsia="Calibri" w:hAnsi="Aptos Display" w:cs="Calibri"/>
          <w:kern w:val="0"/>
          <w:lang w:val="ro-RO"/>
          <w14:ligatures w14:val="none"/>
        </w:rPr>
        <w:t>Pentru ITI Valea Jiului, sunt aceleași criterii de selecție aplicabile apelului aferent Acțiunii “SPRIJINIREA TRANZIȚIEI FORȚEI DE MUNCĂ”, Alti furnizori acreditați, Prioritatea 2 Hunedoara, dar cu respectarea limitării teritoriale acoperite de ITI VALEA JIULUI</w:t>
      </w:r>
      <w:bookmarkEnd w:id="2"/>
      <w:bookmarkEnd w:id="3"/>
      <w:r w:rsidRPr="008850A4">
        <w:rPr>
          <w:rFonts w:ascii="Aptos Display" w:eastAsia="Calibri" w:hAnsi="Aptos Display" w:cs="Calibri"/>
          <w:kern w:val="0"/>
          <w:lang w:val="ro-RO"/>
          <w14:ligatures w14:val="none"/>
        </w:rPr>
        <w:t>.</w:t>
      </w:r>
    </w:p>
    <w:p w14:paraId="724F5B8E" w14:textId="77777777" w:rsidR="008714EC" w:rsidRPr="009F5879" w:rsidRDefault="008714EC" w:rsidP="000F1034">
      <w:pPr>
        <w:pStyle w:val="Heading2"/>
        <w:rPr>
          <w:rFonts w:cstheme="minorHAnsi"/>
          <w:i/>
          <w:iCs/>
          <w:sz w:val="20"/>
          <w:szCs w:val="20"/>
          <w:lang w:val="ro-RO"/>
        </w:rPr>
      </w:pPr>
    </w:p>
    <w:sectPr w:rsidR="008714EC" w:rsidRPr="009F5879" w:rsidSect="008850A4">
      <w:headerReference w:type="default" r:id="rId9"/>
      <w:footerReference w:type="default" r:id="rId10"/>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7"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8" w15:restartNumberingAfterBreak="0">
    <w:nsid w:val="439857CE"/>
    <w:multiLevelType w:val="hybridMultilevel"/>
    <w:tmpl w:val="39443E02"/>
    <w:lvl w:ilvl="0" w:tplc="BA026D36">
      <w:numFmt w:val="bullet"/>
      <w:lvlText w:val="-"/>
      <w:lvlJc w:val="left"/>
      <w:pPr>
        <w:ind w:left="720" w:hanging="360"/>
      </w:pPr>
      <w:rPr>
        <w:rFonts w:ascii="Aptos Display" w:eastAsiaTheme="minorHAnsi" w:hAnsi="Aptos Display"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0"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7"/>
  </w:num>
  <w:num w:numId="3" w16cid:durableId="1702586151">
    <w:abstractNumId w:val="2"/>
  </w:num>
  <w:num w:numId="4" w16cid:durableId="162554356">
    <w:abstractNumId w:val="4"/>
  </w:num>
  <w:num w:numId="5" w16cid:durableId="169873860">
    <w:abstractNumId w:val="10"/>
  </w:num>
  <w:num w:numId="6" w16cid:durableId="783619396">
    <w:abstractNumId w:val="14"/>
  </w:num>
  <w:num w:numId="7" w16cid:durableId="880826843">
    <w:abstractNumId w:val="13"/>
  </w:num>
  <w:num w:numId="8" w16cid:durableId="258683231">
    <w:abstractNumId w:val="11"/>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9"/>
  </w:num>
  <w:num w:numId="15" w16cid:durableId="1786804575">
    <w:abstractNumId w:val="6"/>
  </w:num>
  <w:num w:numId="16" w16cid:durableId="364185694">
    <w:abstractNumId w:val="12"/>
  </w:num>
  <w:num w:numId="17" w16cid:durableId="127508990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4719"/>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24"/>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217A"/>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5EC8"/>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40B5"/>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2E55"/>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5F5"/>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55BE"/>
    <w:rsid w:val="006E64A8"/>
    <w:rsid w:val="006E6C4A"/>
    <w:rsid w:val="006F2140"/>
    <w:rsid w:val="006F3365"/>
    <w:rsid w:val="006F3F30"/>
    <w:rsid w:val="006F447A"/>
    <w:rsid w:val="006F6611"/>
    <w:rsid w:val="006F6F5B"/>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4254"/>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0A4"/>
    <w:rsid w:val="0088516D"/>
    <w:rsid w:val="00886229"/>
    <w:rsid w:val="0089051B"/>
    <w:rsid w:val="008921CB"/>
    <w:rsid w:val="008957A5"/>
    <w:rsid w:val="00897B1E"/>
    <w:rsid w:val="008A0E26"/>
    <w:rsid w:val="008A1549"/>
    <w:rsid w:val="008A3BDA"/>
    <w:rsid w:val="008A3BF3"/>
    <w:rsid w:val="008A5A6C"/>
    <w:rsid w:val="008A6093"/>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C05"/>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6F"/>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41BE"/>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AA"/>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19B"/>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2BFF"/>
    <w:rsid w:val="00DC37E8"/>
    <w:rsid w:val="00DC3EAC"/>
    <w:rsid w:val="00DC7B40"/>
    <w:rsid w:val="00DC7EAD"/>
    <w:rsid w:val="00DD025D"/>
    <w:rsid w:val="00DD3331"/>
    <w:rsid w:val="00DD3E68"/>
    <w:rsid w:val="00DD67E8"/>
    <w:rsid w:val="00DD6FD5"/>
    <w:rsid w:val="00DE2AAD"/>
    <w:rsid w:val="00DE354E"/>
    <w:rsid w:val="00DE3C56"/>
    <w:rsid w:val="00DE4FE1"/>
    <w:rsid w:val="00DE5A0F"/>
    <w:rsid w:val="00DE66E6"/>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81A"/>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094A"/>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Pages>
  <Words>3267</Words>
  <Characters>18623</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Brindusa Bordeianu</cp:lastModifiedBy>
  <cp:revision>15</cp:revision>
  <cp:lastPrinted>2025-08-14T06:02:00Z</cp:lastPrinted>
  <dcterms:created xsi:type="dcterms:W3CDTF">2025-09-23T08:22:00Z</dcterms:created>
  <dcterms:modified xsi:type="dcterms:W3CDTF">2025-11-17T12:28:00Z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